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48D1BD" w14:textId="77777777" w:rsidR="00C36857" w:rsidRPr="00C36857" w:rsidRDefault="00C36857" w:rsidP="00C36857">
      <w:pPr>
        <w:pStyle w:val="Heading2"/>
        <w:overflowPunct/>
        <w:autoSpaceDE/>
        <w:autoSpaceDN/>
        <w:adjustRightInd/>
        <w:spacing w:before="0" w:after="240"/>
        <w:ind w:left="426" w:hanging="426"/>
        <w:jc w:val="both"/>
        <w:textAlignment w:val="auto"/>
        <w:rPr>
          <w:rFonts w:ascii="GHEA Grapalat" w:hAnsi="GHEA Grapalat"/>
          <w:i w:val="0"/>
          <w:noProof/>
          <w:sz w:val="26"/>
          <w:szCs w:val="26"/>
          <w:lang w:val="de-AT"/>
        </w:rPr>
      </w:pPr>
      <w:bookmarkStart w:id="0" w:name="_Toc71283308"/>
      <w:bookmarkStart w:id="1" w:name="_Toc71311888"/>
      <w:bookmarkStart w:id="2" w:name="_Toc181975819"/>
      <w:r w:rsidRPr="00C36857">
        <w:rPr>
          <w:rFonts w:ascii="GHEA Grapalat" w:hAnsi="GHEA Grapalat"/>
          <w:i w:val="0"/>
          <w:noProof/>
          <w:sz w:val="26"/>
          <w:szCs w:val="26"/>
          <w:lang w:val="de-AT"/>
        </w:rPr>
        <w:t>1.3. Հարկաբյուջետային քաղաքականության հիմնական զարգացումները</w:t>
      </w:r>
    </w:p>
    <w:bookmarkEnd w:id="0"/>
    <w:bookmarkEnd w:id="1"/>
    <w:bookmarkEnd w:id="2"/>
    <w:p w14:paraId="3746404F" w14:textId="0D95E484" w:rsidR="004B2983" w:rsidRPr="004B2983" w:rsidRDefault="004B2983" w:rsidP="004B2983">
      <w:pPr>
        <w:spacing w:after="0" w:line="276" w:lineRule="auto"/>
        <w:ind w:firstLine="567"/>
        <w:jc w:val="both"/>
        <w:rPr>
          <w:rFonts w:ascii="GHEA Grapalat" w:eastAsia="Calibri" w:hAnsi="GHEA Grapalat" w:cs="Sylfaen"/>
          <w:noProof/>
          <w:lang w:val="hy-AM"/>
        </w:rPr>
      </w:pPr>
      <w:r w:rsidRPr="004B2983">
        <w:rPr>
          <w:rFonts w:ascii="GHEA Grapalat" w:eastAsia="Calibri" w:hAnsi="GHEA Grapalat" w:cs="Sylfaen"/>
          <w:noProof/>
          <w:lang w:val="hy-AM"/>
        </w:rPr>
        <w:t xml:space="preserve">2026թ. առաջին կիսամյակում, նախորդ տարվա նույն ժամանակահատվածի բյուջեի պակասուրդի (39.2 մլրդ դրամ) փոխարեն առկա է բյուջեի հավելուրդ (67.3 մլրդ դրամ): </w:t>
      </w:r>
      <w:r w:rsidR="00D844ED">
        <w:rPr>
          <w:rFonts w:ascii="GHEA Grapalat" w:eastAsia="Calibri" w:hAnsi="GHEA Grapalat" w:cs="Sylfaen"/>
          <w:noProof/>
        </w:rPr>
        <w:t>Մինչդեռ</w:t>
      </w:r>
      <w:bookmarkStart w:id="3" w:name="_GoBack"/>
      <w:bookmarkEnd w:id="3"/>
      <w:r w:rsidRPr="004B2983">
        <w:rPr>
          <w:rFonts w:ascii="GHEA Grapalat" w:eastAsia="Calibri" w:hAnsi="GHEA Grapalat" w:cs="Sylfaen"/>
          <w:noProof/>
          <w:lang w:val="hy-AM"/>
        </w:rPr>
        <w:t xml:space="preserve"> հարկաբյուջետային քաղաքականության ազդեցությունն ամբողջական պահանջարկի վրա գնահատվել է թույլ խթանող՝ չեզոքին մոտ, ինչը պայմանավորված է տնտեսական ծրագրերին ուղղված կապիտալ ծախսերի դերի ավելացմամբ, ինչպես նաև ընթացիկ ծախ</w:t>
      </w:r>
      <w:r w:rsidR="00867163">
        <w:rPr>
          <w:rFonts w:ascii="GHEA Grapalat" w:eastAsia="Calibri" w:hAnsi="GHEA Grapalat" w:cs="Sylfaen"/>
          <w:noProof/>
        </w:rPr>
        <w:t>ս</w:t>
      </w:r>
      <w:r w:rsidRPr="004B2983">
        <w:rPr>
          <w:rFonts w:ascii="GHEA Grapalat" w:eastAsia="Calibri" w:hAnsi="GHEA Grapalat" w:cs="Sylfaen"/>
          <w:noProof/>
          <w:lang w:val="hy-AM"/>
        </w:rPr>
        <w:t>երի աճի միտումներով։</w:t>
      </w:r>
    </w:p>
    <w:p w14:paraId="6413A562" w14:textId="4FB65EAF" w:rsidR="009B2030" w:rsidRPr="009B2030" w:rsidRDefault="00B02B97" w:rsidP="009B2030">
      <w:pPr>
        <w:spacing w:after="0" w:line="276" w:lineRule="auto"/>
        <w:ind w:firstLine="567"/>
        <w:jc w:val="both"/>
        <w:rPr>
          <w:rFonts w:ascii="GHEA Grapalat" w:eastAsia="Calibri" w:hAnsi="GHEA Grapalat" w:cs="Sylfaen"/>
          <w:noProof/>
          <w:lang w:val="hy-AM"/>
        </w:rPr>
      </w:pPr>
      <w:r w:rsidRPr="00B02B97">
        <w:rPr>
          <w:rFonts w:ascii="GHEA Grapalat" w:hAnsi="GHEA Grapalat" w:cs="GHEA Grapalat"/>
          <w:b/>
          <w:i/>
          <w:lang w:val="hy-AM"/>
        </w:rPr>
        <w:t>Պետական բյուջեի եկամուտները:</w:t>
      </w:r>
      <w:r w:rsidRPr="00B02B97">
        <w:rPr>
          <w:rFonts w:ascii="GHEA Grapalat" w:hAnsi="GHEA Grapalat" w:cs="GHEA Grapalat"/>
          <w:lang w:val="hy-AM"/>
        </w:rPr>
        <w:t xml:space="preserve"> </w:t>
      </w:r>
      <w:r w:rsidR="009B2030" w:rsidRPr="009B2030">
        <w:rPr>
          <w:rFonts w:ascii="GHEA Grapalat" w:eastAsia="Calibri" w:hAnsi="GHEA Grapalat" w:cs="Sylfaen"/>
          <w:noProof/>
          <w:lang w:val="hy-AM"/>
        </w:rPr>
        <w:t xml:space="preserve">2026թ. առաջին </w:t>
      </w:r>
      <w:r w:rsidR="009B2030">
        <w:rPr>
          <w:rFonts w:ascii="GHEA Grapalat" w:eastAsia="Calibri" w:hAnsi="GHEA Grapalat" w:cs="Sylfaen"/>
          <w:noProof/>
          <w:lang w:val="hy-AM"/>
        </w:rPr>
        <w:t>կիսամյակում</w:t>
      </w:r>
      <w:r w:rsidR="009B2030" w:rsidRPr="009B2030">
        <w:rPr>
          <w:rFonts w:ascii="GHEA Grapalat" w:eastAsia="Calibri" w:hAnsi="GHEA Grapalat" w:cs="Sylfaen"/>
          <w:noProof/>
          <w:lang w:val="hy-AM"/>
        </w:rPr>
        <w:t xml:space="preserve"> պետական բյուջեի ընդհանուր եկամուտներն</w:t>
      </w:r>
      <w:r w:rsidR="00491B04">
        <w:rPr>
          <w:rFonts w:ascii="GHEA Grapalat" w:eastAsia="Calibri" w:hAnsi="GHEA Grapalat" w:cs="Sylfaen"/>
          <w:noProof/>
          <w:lang w:val="hy-AM"/>
        </w:rPr>
        <w:t xml:space="preserve"> </w:t>
      </w:r>
      <w:r w:rsidR="009B2030" w:rsidRPr="009B2030">
        <w:rPr>
          <w:rFonts w:ascii="GHEA Grapalat" w:eastAsia="Calibri" w:hAnsi="GHEA Grapalat" w:cs="Sylfaen"/>
          <w:noProof/>
          <w:lang w:val="hy-AM"/>
        </w:rPr>
        <w:t xml:space="preserve">աճել են բարձր տեմպով՝ պայմանավորված </w:t>
      </w:r>
      <w:r w:rsidR="000F6B04">
        <w:rPr>
          <w:rFonts w:ascii="GHEA Grapalat" w:eastAsia="Calibri" w:hAnsi="GHEA Grapalat" w:cs="Sylfaen"/>
          <w:noProof/>
          <w:lang w:val="hy-AM"/>
        </w:rPr>
        <w:t xml:space="preserve">տնտեսական բարձր ակտիվությամբ, </w:t>
      </w:r>
      <w:r w:rsidR="009B2030" w:rsidRPr="009B2030">
        <w:rPr>
          <w:rFonts w:ascii="GHEA Grapalat" w:eastAsia="Calibri" w:hAnsi="GHEA Grapalat" w:cs="Sylfaen"/>
          <w:noProof/>
          <w:lang w:val="hy-AM"/>
        </w:rPr>
        <w:t>հարկային վարչարարության արդյունավետության և թիրախայնության բարձրացմամբ, ինչպես նաև հարկային օրենսդրության բարեփոխումներով: 2026թ. հունվար-</w:t>
      </w:r>
      <w:r w:rsidR="009B2030">
        <w:rPr>
          <w:rFonts w:ascii="GHEA Grapalat" w:eastAsia="Calibri" w:hAnsi="GHEA Grapalat" w:cs="Sylfaen"/>
          <w:noProof/>
          <w:lang w:val="hy-AM"/>
        </w:rPr>
        <w:t>հունիս</w:t>
      </w:r>
      <w:r w:rsidR="009B2030" w:rsidRPr="009B2030">
        <w:rPr>
          <w:rFonts w:ascii="GHEA Grapalat" w:eastAsia="Calibri" w:hAnsi="GHEA Grapalat" w:cs="Sylfaen"/>
          <w:noProof/>
          <w:lang w:val="hy-AM"/>
        </w:rPr>
        <w:t xml:space="preserve"> ամիսներին պետական բյուջեի ընդհանուր եկամուտները կազմել են </w:t>
      </w:r>
      <w:r w:rsidR="009B2030">
        <w:rPr>
          <w:rFonts w:ascii="GHEA Grapalat" w:eastAsia="Calibri" w:hAnsi="GHEA Grapalat" w:cs="Sylfaen"/>
          <w:noProof/>
          <w:lang w:val="hy-AM"/>
        </w:rPr>
        <w:t>1,643</w:t>
      </w:r>
      <w:r w:rsidR="009B2030" w:rsidRPr="009B2030">
        <w:rPr>
          <w:rFonts w:ascii="GHEA Grapalat" w:eastAsia="Calibri" w:hAnsi="GHEA Grapalat" w:cs="Sylfaen"/>
          <w:noProof/>
          <w:lang w:val="hy-AM"/>
        </w:rPr>
        <w:t xml:space="preserve"> մլրդ դրամ՝ նախորդ տարվա նույն ժամանակահատվածի համեմատ աճելով 1</w:t>
      </w:r>
      <w:r w:rsidR="009B2030">
        <w:rPr>
          <w:rFonts w:ascii="GHEA Grapalat" w:eastAsia="Calibri" w:hAnsi="GHEA Grapalat" w:cs="Sylfaen"/>
          <w:noProof/>
          <w:lang w:val="hy-AM"/>
        </w:rPr>
        <w:t>4</w:t>
      </w:r>
      <w:r w:rsidR="009B2030" w:rsidRPr="009B2030">
        <w:rPr>
          <w:rFonts w:ascii="GHEA Grapalat" w:eastAsia="Calibri" w:hAnsi="GHEA Grapalat" w:cs="Sylfaen"/>
          <w:noProof/>
          <w:lang w:val="hy-AM"/>
        </w:rPr>
        <w:t>.</w:t>
      </w:r>
      <w:r w:rsidR="009B2030">
        <w:rPr>
          <w:rFonts w:ascii="GHEA Grapalat" w:eastAsia="Calibri" w:hAnsi="GHEA Grapalat" w:cs="Sylfaen"/>
          <w:noProof/>
          <w:lang w:val="hy-AM"/>
        </w:rPr>
        <w:t>7</w:t>
      </w:r>
      <w:r w:rsidR="009B2030" w:rsidRPr="009B2030">
        <w:rPr>
          <w:rFonts w:ascii="GHEA Grapalat" w:eastAsia="Calibri" w:hAnsi="GHEA Grapalat" w:cs="Sylfaen"/>
          <w:noProof/>
          <w:lang w:val="hy-AM"/>
        </w:rPr>
        <w:t xml:space="preserve">% ով, իսկ հարկերը և տուրքերը կազմել են </w:t>
      </w:r>
      <w:r w:rsidR="009B2030">
        <w:rPr>
          <w:rFonts w:ascii="GHEA Grapalat" w:eastAsia="Calibri" w:hAnsi="GHEA Grapalat" w:cs="Sylfaen"/>
          <w:noProof/>
          <w:lang w:val="hy-AM"/>
        </w:rPr>
        <w:t>1,556</w:t>
      </w:r>
      <w:r w:rsidR="009B2030" w:rsidRPr="009B2030">
        <w:rPr>
          <w:rFonts w:ascii="GHEA Grapalat" w:eastAsia="Calibri" w:hAnsi="GHEA Grapalat" w:cs="Sylfaen"/>
          <w:noProof/>
          <w:lang w:val="hy-AM"/>
        </w:rPr>
        <w:t xml:space="preserve"> մլրդ դրամ՝ նախորդ տարվա նույն ժամանակահատվածի համեմատ աճելով 1</w:t>
      </w:r>
      <w:r w:rsidR="009B2030">
        <w:rPr>
          <w:rFonts w:ascii="GHEA Grapalat" w:eastAsia="Calibri" w:hAnsi="GHEA Grapalat" w:cs="Sylfaen"/>
          <w:noProof/>
          <w:lang w:val="hy-AM"/>
        </w:rPr>
        <w:t>4</w:t>
      </w:r>
      <w:r w:rsidR="009B2030" w:rsidRPr="009B2030">
        <w:rPr>
          <w:rFonts w:ascii="GHEA Grapalat" w:eastAsia="Calibri" w:hAnsi="GHEA Grapalat" w:cs="Sylfaen"/>
          <w:noProof/>
          <w:lang w:val="hy-AM"/>
        </w:rPr>
        <w:t>.</w:t>
      </w:r>
      <w:r w:rsidR="009B2030">
        <w:rPr>
          <w:rFonts w:ascii="GHEA Grapalat" w:eastAsia="Calibri" w:hAnsi="GHEA Grapalat" w:cs="Sylfaen"/>
          <w:noProof/>
          <w:lang w:val="hy-AM"/>
        </w:rPr>
        <w:t>7</w:t>
      </w:r>
      <w:r w:rsidR="009B2030" w:rsidRPr="009B2030">
        <w:rPr>
          <w:rFonts w:ascii="GHEA Grapalat" w:eastAsia="Calibri" w:hAnsi="GHEA Grapalat" w:cs="Sylfaen"/>
          <w:noProof/>
          <w:lang w:val="hy-AM"/>
        </w:rPr>
        <w:t>%-ով:</w:t>
      </w:r>
    </w:p>
    <w:p w14:paraId="39BAA606" w14:textId="2CAD4205" w:rsidR="00610DCB" w:rsidRDefault="004D143E" w:rsidP="009B2030">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Հարկային եկամուտների աճին ամենամեծ նպաստումն է </w:t>
      </w:r>
      <w:r w:rsidR="00491B04">
        <w:rPr>
          <w:rFonts w:ascii="GHEA Grapalat" w:eastAsia="Calibri" w:hAnsi="GHEA Grapalat" w:cs="Sylfaen"/>
          <w:noProof/>
          <w:lang w:val="hy-AM"/>
        </w:rPr>
        <w:t xml:space="preserve">ունեցել </w:t>
      </w:r>
      <w:r>
        <w:rPr>
          <w:rFonts w:ascii="GHEA Grapalat" w:eastAsia="Calibri" w:hAnsi="GHEA Grapalat" w:cs="Sylfaen"/>
          <w:noProof/>
          <w:lang w:val="hy-AM"/>
        </w:rPr>
        <w:t xml:space="preserve">ավելացված արժեքի հարկը </w:t>
      </w:r>
      <w:r w:rsidRPr="00491B04">
        <w:rPr>
          <w:rFonts w:ascii="GHEA Grapalat" w:eastAsia="Calibri" w:hAnsi="GHEA Grapalat" w:cs="Sylfaen"/>
          <w:noProof/>
          <w:lang w:val="hy-AM"/>
        </w:rPr>
        <w:t>(</w:t>
      </w:r>
      <w:r>
        <w:rPr>
          <w:rFonts w:ascii="GHEA Grapalat" w:eastAsia="Calibri" w:hAnsi="GHEA Grapalat" w:cs="Sylfaen"/>
          <w:noProof/>
          <w:lang w:val="hy-AM"/>
        </w:rPr>
        <w:t xml:space="preserve">աճի տեմպը՝ </w:t>
      </w:r>
      <w:r w:rsidRPr="00491B04">
        <w:rPr>
          <w:rFonts w:ascii="GHEA Grapalat" w:eastAsia="Calibri" w:hAnsi="GHEA Grapalat" w:cs="Sylfaen"/>
          <w:noProof/>
          <w:lang w:val="hy-AM"/>
        </w:rPr>
        <w:t>1</w:t>
      </w:r>
      <w:r w:rsidR="00912A34" w:rsidRPr="00CB2F70">
        <w:rPr>
          <w:rFonts w:ascii="GHEA Grapalat" w:eastAsia="Calibri" w:hAnsi="GHEA Grapalat" w:cs="Sylfaen"/>
          <w:noProof/>
          <w:lang w:val="hy-AM"/>
        </w:rPr>
        <w:t>1.1</w:t>
      </w:r>
      <w:r w:rsidRPr="00491B04">
        <w:rPr>
          <w:rFonts w:ascii="GHEA Grapalat" w:eastAsia="Calibri" w:hAnsi="GHEA Grapalat" w:cs="Sylfaen"/>
          <w:noProof/>
          <w:lang w:val="hy-AM"/>
        </w:rPr>
        <w:t xml:space="preserve">%), </w:t>
      </w:r>
      <w:r>
        <w:rPr>
          <w:rFonts w:ascii="GHEA Grapalat" w:eastAsia="Calibri" w:hAnsi="GHEA Grapalat" w:cs="Sylfaen"/>
          <w:noProof/>
          <w:lang w:val="hy-AM"/>
        </w:rPr>
        <w:t>ինչը համահունչ է</w:t>
      </w:r>
      <w:r w:rsidR="000F6B04">
        <w:rPr>
          <w:rFonts w:ascii="GHEA Grapalat" w:eastAsia="Calibri" w:hAnsi="GHEA Grapalat" w:cs="Sylfaen"/>
          <w:noProof/>
          <w:lang w:val="hy-AM"/>
        </w:rPr>
        <w:t xml:space="preserve"> տնտեսական ակտի</w:t>
      </w:r>
      <w:r w:rsidR="00AB43CD" w:rsidRPr="00CB2F70">
        <w:rPr>
          <w:rFonts w:ascii="GHEA Grapalat" w:eastAsia="Calibri" w:hAnsi="GHEA Grapalat" w:cs="Sylfaen"/>
          <w:noProof/>
          <w:lang w:val="hy-AM"/>
        </w:rPr>
        <w:t>վ</w:t>
      </w:r>
      <w:r w:rsidR="000F6B04">
        <w:rPr>
          <w:rFonts w:ascii="GHEA Grapalat" w:eastAsia="Calibri" w:hAnsi="GHEA Grapalat" w:cs="Sylfaen"/>
          <w:noProof/>
          <w:lang w:val="hy-AM"/>
        </w:rPr>
        <w:t>ության, մասնավորապես՝</w:t>
      </w:r>
      <w:r>
        <w:rPr>
          <w:rFonts w:ascii="GHEA Grapalat" w:eastAsia="Calibri" w:hAnsi="GHEA Grapalat" w:cs="Sylfaen"/>
          <w:noProof/>
          <w:lang w:val="hy-AM"/>
        </w:rPr>
        <w:t xml:space="preserve"> հարկունակ սպառման և ներմուծման աճի միտումներին</w:t>
      </w:r>
      <w:r w:rsidR="00945AA5">
        <w:rPr>
          <w:rFonts w:ascii="GHEA Grapalat" w:eastAsia="Calibri" w:hAnsi="GHEA Grapalat" w:cs="Sylfaen"/>
          <w:noProof/>
          <w:lang w:val="hy-AM"/>
        </w:rPr>
        <w:t>:</w:t>
      </w:r>
    </w:p>
    <w:p w14:paraId="05D8F266" w14:textId="5DF1D94F" w:rsidR="009B2030" w:rsidRPr="007176E8" w:rsidRDefault="004D143E">
      <w:pPr>
        <w:spacing w:after="0" w:line="276" w:lineRule="auto"/>
        <w:ind w:firstLine="567"/>
        <w:jc w:val="both"/>
        <w:rPr>
          <w:rFonts w:ascii="GHEA Grapalat" w:eastAsia="Calibri" w:hAnsi="GHEA Grapalat" w:cs="Sylfaen"/>
          <w:noProof/>
          <w:lang w:val="hy-AM"/>
        </w:rPr>
      </w:pPr>
      <w:r>
        <w:rPr>
          <w:rFonts w:ascii="GHEA Grapalat" w:eastAsia="Calibri" w:hAnsi="GHEA Grapalat" w:cs="Sylfaen"/>
          <w:noProof/>
          <w:lang w:val="hy-AM"/>
        </w:rPr>
        <w:t xml:space="preserve">Զուգահեռաբար, </w:t>
      </w:r>
      <w:r w:rsidR="00610DCB">
        <w:rPr>
          <w:rFonts w:ascii="GHEA Grapalat" w:eastAsia="Calibri" w:hAnsi="GHEA Grapalat" w:cs="Sylfaen"/>
          <w:noProof/>
          <w:lang w:val="hy-AM"/>
        </w:rPr>
        <w:t xml:space="preserve">հարկային եկամուտների </w:t>
      </w:r>
      <w:r>
        <w:rPr>
          <w:rFonts w:ascii="GHEA Grapalat" w:eastAsia="Calibri" w:hAnsi="GHEA Grapalat" w:cs="Sylfaen"/>
          <w:noProof/>
          <w:lang w:val="hy-AM"/>
        </w:rPr>
        <w:t>աճին</w:t>
      </w:r>
      <w:r w:rsidR="009B2030">
        <w:rPr>
          <w:rFonts w:ascii="GHEA Grapalat" w:eastAsia="Calibri" w:hAnsi="GHEA Grapalat" w:cs="Sylfaen"/>
          <w:noProof/>
          <w:lang w:val="hy-AM"/>
        </w:rPr>
        <w:t xml:space="preserve"> էականորեն նպաստել է</w:t>
      </w:r>
      <w:r w:rsidR="00610DCB">
        <w:rPr>
          <w:rFonts w:ascii="GHEA Grapalat" w:eastAsia="Calibri" w:hAnsi="GHEA Grapalat" w:cs="Sylfaen"/>
          <w:noProof/>
          <w:lang w:val="hy-AM"/>
        </w:rPr>
        <w:t xml:space="preserve"> նաև</w:t>
      </w:r>
      <w:r w:rsidR="009B2030" w:rsidRPr="009B2030">
        <w:rPr>
          <w:rFonts w:ascii="GHEA Grapalat" w:eastAsia="Calibri" w:hAnsi="GHEA Grapalat" w:cs="Sylfaen"/>
          <w:noProof/>
          <w:lang w:val="hy-AM"/>
        </w:rPr>
        <w:t xml:space="preserve"> եկամտային հարկը, որի բարձր աճի տեմպը (1</w:t>
      </w:r>
      <w:r w:rsidR="009B2030">
        <w:rPr>
          <w:rFonts w:ascii="GHEA Grapalat" w:eastAsia="Calibri" w:hAnsi="GHEA Grapalat" w:cs="Sylfaen"/>
          <w:noProof/>
          <w:lang w:val="hy-AM"/>
        </w:rPr>
        <w:t>2</w:t>
      </w:r>
      <w:r w:rsidR="009B2030" w:rsidRPr="009B2030">
        <w:rPr>
          <w:rFonts w:ascii="GHEA Grapalat" w:eastAsia="Calibri" w:hAnsi="GHEA Grapalat" w:cs="Sylfaen"/>
          <w:noProof/>
          <w:lang w:val="hy-AM"/>
        </w:rPr>
        <w:t xml:space="preserve">.7%) պայմանավորված է հարկման բազայի՝ աշխատավարձի ֆոնդի աճով, ինչն էլ </w:t>
      </w:r>
      <w:r w:rsidR="00D8797D">
        <w:rPr>
          <w:rFonts w:ascii="GHEA Grapalat" w:eastAsia="Calibri" w:hAnsi="GHEA Grapalat" w:cs="Sylfaen"/>
          <w:noProof/>
          <w:lang w:val="hy-AM"/>
        </w:rPr>
        <w:t xml:space="preserve">իր հերթին </w:t>
      </w:r>
      <w:r w:rsidR="009B2030" w:rsidRPr="009B2030">
        <w:rPr>
          <w:rFonts w:ascii="GHEA Grapalat" w:eastAsia="Calibri" w:hAnsi="GHEA Grapalat" w:cs="Sylfaen"/>
          <w:noProof/>
          <w:lang w:val="hy-AM"/>
        </w:rPr>
        <w:t>պայման</w:t>
      </w:r>
      <w:r w:rsidR="00945AA5" w:rsidRPr="00CB2F70">
        <w:rPr>
          <w:rFonts w:ascii="GHEA Grapalat" w:eastAsia="Calibri" w:hAnsi="GHEA Grapalat" w:cs="Sylfaen"/>
          <w:noProof/>
          <w:lang w:val="hy-AM"/>
        </w:rPr>
        <w:t>ավ</w:t>
      </w:r>
      <w:r w:rsidR="009B2030" w:rsidRPr="009B2030">
        <w:rPr>
          <w:rFonts w:ascii="GHEA Grapalat" w:eastAsia="Calibri" w:hAnsi="GHEA Grapalat" w:cs="Sylfaen"/>
          <w:noProof/>
          <w:lang w:val="hy-AM"/>
        </w:rPr>
        <w:t>որված է տնտեսական ակտիվությամբ և աշխատաշուկայի ֆորմալացման գործընթացով, այդ թվում՝ հարկային վարչարարության ներգործությամբ:</w:t>
      </w:r>
      <w:r w:rsidR="009B2030">
        <w:rPr>
          <w:rFonts w:ascii="GHEA Grapalat" w:eastAsia="Calibri" w:hAnsi="GHEA Grapalat" w:cs="Sylfaen"/>
          <w:noProof/>
          <w:lang w:val="hy-AM"/>
        </w:rPr>
        <w:t xml:space="preserve"> </w:t>
      </w:r>
      <w:r w:rsidR="00E8091D" w:rsidRPr="00E8091D">
        <w:rPr>
          <w:rFonts w:ascii="GHEA Grapalat" w:eastAsia="Calibri" w:hAnsi="GHEA Grapalat" w:cs="Sylfaen"/>
          <w:noProof/>
          <w:lang w:val="hy-AM"/>
        </w:rPr>
        <w:t>Կիսամյակի ընթացքում արձանագրվել է նաև շահութահարկի</w:t>
      </w:r>
      <w:r w:rsidR="00E8091D" w:rsidRPr="00491B04">
        <w:rPr>
          <w:rFonts w:ascii="GHEA Grapalat" w:eastAsia="Calibri" w:hAnsi="GHEA Grapalat" w:cs="Sylfaen"/>
          <w:noProof/>
          <w:lang w:val="hy-AM"/>
        </w:rPr>
        <w:t xml:space="preserve"> </w:t>
      </w:r>
      <w:r w:rsidR="00F66F52">
        <w:rPr>
          <w:rFonts w:ascii="GHEA Grapalat" w:eastAsia="Calibri" w:hAnsi="GHEA Grapalat" w:cs="Sylfaen"/>
          <w:noProof/>
          <w:lang w:val="hy-AM"/>
        </w:rPr>
        <w:t xml:space="preserve">բարձր աճ </w:t>
      </w:r>
      <w:r w:rsidR="00E8091D" w:rsidRPr="00491B04">
        <w:rPr>
          <w:rFonts w:ascii="GHEA Grapalat" w:eastAsia="Calibri" w:hAnsi="GHEA Grapalat" w:cs="Sylfaen"/>
          <w:noProof/>
          <w:lang w:val="hy-AM"/>
        </w:rPr>
        <w:t>(</w:t>
      </w:r>
      <w:r w:rsidR="00E8091D">
        <w:rPr>
          <w:rFonts w:ascii="GHEA Grapalat" w:eastAsia="Calibri" w:hAnsi="GHEA Grapalat" w:cs="Sylfaen"/>
          <w:noProof/>
          <w:lang w:val="hy-AM"/>
        </w:rPr>
        <w:t>աճի տեմպը՝ 11.5</w:t>
      </w:r>
      <w:r w:rsidR="00E8091D" w:rsidRPr="00491B04">
        <w:rPr>
          <w:rFonts w:ascii="GHEA Grapalat" w:eastAsia="Calibri" w:hAnsi="GHEA Grapalat" w:cs="Sylfaen"/>
          <w:noProof/>
          <w:lang w:val="hy-AM"/>
        </w:rPr>
        <w:t>%)</w:t>
      </w:r>
      <w:r w:rsidR="00E8091D" w:rsidRPr="00E8091D">
        <w:rPr>
          <w:rFonts w:ascii="GHEA Grapalat" w:eastAsia="Calibri" w:hAnsi="GHEA Grapalat" w:cs="Sylfaen"/>
          <w:noProof/>
          <w:lang w:val="hy-AM"/>
        </w:rPr>
        <w:t xml:space="preserve"> , որը ևս զգալիորեն նպաստել է հարկային եկամուտների աճին՝ արտացոլելով նախորդ տարվա ընթացքում ձևավորված հարկվող շահույթների </w:t>
      </w:r>
      <w:r w:rsidR="00491B04">
        <w:rPr>
          <w:rFonts w:ascii="GHEA Grapalat" w:eastAsia="Calibri" w:hAnsi="GHEA Grapalat" w:cs="Sylfaen"/>
          <w:noProof/>
          <w:lang w:val="hy-AM"/>
        </w:rPr>
        <w:t>բարձր մակարդակը</w:t>
      </w:r>
      <w:r w:rsidR="00E8091D" w:rsidRPr="00491B04">
        <w:rPr>
          <w:rFonts w:ascii="GHEA Grapalat" w:eastAsia="Calibri" w:hAnsi="GHEA Grapalat" w:cs="Sylfaen"/>
          <w:noProof/>
          <w:lang w:val="hy-AM"/>
        </w:rPr>
        <w:t>:</w:t>
      </w:r>
      <w:r w:rsidR="009B2030" w:rsidRPr="009B2030">
        <w:rPr>
          <w:rFonts w:ascii="GHEA Grapalat" w:eastAsia="Calibri" w:hAnsi="GHEA Grapalat" w:cs="Sylfaen"/>
          <w:noProof/>
          <w:lang w:val="hy-AM"/>
        </w:rPr>
        <w:t xml:space="preserve"> Հարկային եկամուտների աճի</w:t>
      </w:r>
      <w:r w:rsidR="00491B04">
        <w:rPr>
          <w:rFonts w:ascii="GHEA Grapalat" w:eastAsia="Calibri" w:hAnsi="GHEA Grapalat" w:cs="Sylfaen"/>
          <w:noProof/>
          <w:lang w:val="hy-AM"/>
        </w:rPr>
        <w:t xml:space="preserve">ն </w:t>
      </w:r>
      <w:r w:rsidR="00E8091D">
        <w:rPr>
          <w:rFonts w:ascii="GHEA Grapalat" w:eastAsia="Calibri" w:hAnsi="GHEA Grapalat" w:cs="Sylfaen"/>
          <w:noProof/>
          <w:lang w:val="hy-AM"/>
        </w:rPr>
        <w:t>նպաստել են նաև</w:t>
      </w:r>
      <w:r w:rsidR="009B2030" w:rsidRPr="009B2030">
        <w:rPr>
          <w:rFonts w:ascii="GHEA Grapalat" w:eastAsia="Calibri" w:hAnsi="GHEA Grapalat" w:cs="Sylfaen"/>
          <w:noProof/>
          <w:lang w:val="hy-AM"/>
        </w:rPr>
        <w:t xml:space="preserve"> բնապահպանական հարկի և բնօգտագործման վճարների գծով մուտքերը՝ պայմանավորված</w:t>
      </w:r>
      <w:r w:rsidR="000F6B04" w:rsidRPr="00BD5562">
        <w:rPr>
          <w:rFonts w:ascii="GHEA Grapalat" w:eastAsia="Calibri" w:hAnsi="GHEA Grapalat" w:cs="Sylfaen"/>
          <w:noProof/>
          <w:lang w:val="hy-AM"/>
        </w:rPr>
        <w:t xml:space="preserve"> </w:t>
      </w:r>
      <w:r w:rsidR="000F6B04">
        <w:rPr>
          <w:rFonts w:ascii="GHEA Grapalat" w:eastAsia="Calibri" w:hAnsi="GHEA Grapalat" w:cs="Sylfaen"/>
          <w:noProof/>
          <w:lang w:val="hy-AM"/>
        </w:rPr>
        <w:t>հանքարդյունաբերության ոլորտի դրական զարգացումներով, պղնձի գների բարձր մակարդակով, ինչպես նաև</w:t>
      </w:r>
      <w:r w:rsidR="009B2030" w:rsidRPr="009B2030">
        <w:rPr>
          <w:rFonts w:ascii="GHEA Grapalat" w:eastAsia="Calibri" w:hAnsi="GHEA Grapalat" w:cs="Sylfaen"/>
          <w:noProof/>
          <w:lang w:val="hy-AM"/>
        </w:rPr>
        <w:t xml:space="preserve"> նախորդ տարվա ցածր բազայով</w:t>
      </w:r>
      <w:r w:rsidR="00E20CF4">
        <w:rPr>
          <w:rFonts w:ascii="GHEA Grapalat" w:eastAsia="Calibri" w:hAnsi="GHEA Grapalat" w:cs="Sylfaen"/>
          <w:noProof/>
          <w:lang w:val="hy-AM"/>
        </w:rPr>
        <w:t>:</w:t>
      </w:r>
    </w:p>
    <w:p w14:paraId="0DBD91A4" w14:textId="6768FC63" w:rsidR="007176E8" w:rsidRPr="00484845" w:rsidRDefault="007176E8" w:rsidP="00945AA5">
      <w:pPr>
        <w:keepNext/>
        <w:keepLines/>
        <w:numPr>
          <w:ilvl w:val="0"/>
          <w:numId w:val="1"/>
        </w:numPr>
        <w:tabs>
          <w:tab w:val="left" w:pos="0"/>
          <w:tab w:val="left" w:pos="1276"/>
          <w:tab w:val="left" w:pos="1418"/>
        </w:tabs>
        <w:autoSpaceDE w:val="0"/>
        <w:autoSpaceDN w:val="0"/>
        <w:adjustRightInd w:val="0"/>
        <w:spacing w:after="0" w:line="276" w:lineRule="auto"/>
        <w:ind w:left="0" w:firstLine="0"/>
        <w:contextualSpacing/>
        <w:rPr>
          <w:rFonts w:ascii="GHEA Grapalat" w:hAnsi="GHEA Grapalat" w:cs="Sylfaen"/>
          <w:lang w:val="hy-AM"/>
        </w:rPr>
      </w:pPr>
      <w:r w:rsidRPr="000F07C5">
        <w:rPr>
          <w:rFonts w:ascii="GHEA Grapalat" w:hAnsi="GHEA Grapalat"/>
          <w:b/>
          <w:bCs/>
          <w:sz w:val="18"/>
          <w:szCs w:val="18"/>
          <w:lang w:val="hy-AM"/>
        </w:rPr>
        <w:t>Պետական բյուջեի հարկային եկամուտները 202</w:t>
      </w:r>
      <w:r w:rsidR="00EE0D8B">
        <w:rPr>
          <w:rFonts w:ascii="GHEA Grapalat" w:hAnsi="GHEA Grapalat"/>
          <w:b/>
          <w:bCs/>
          <w:sz w:val="18"/>
          <w:szCs w:val="18"/>
          <w:lang w:val="hy-AM"/>
        </w:rPr>
        <w:t>2</w:t>
      </w:r>
      <w:r w:rsidRPr="000F07C5">
        <w:rPr>
          <w:rFonts w:ascii="GHEA Grapalat" w:hAnsi="GHEA Grapalat"/>
          <w:b/>
          <w:bCs/>
          <w:sz w:val="18"/>
          <w:szCs w:val="18"/>
          <w:lang w:val="hy-AM"/>
        </w:rPr>
        <w:t>-202</w:t>
      </w:r>
      <w:r w:rsidR="00EE0D8B">
        <w:rPr>
          <w:rFonts w:ascii="GHEA Grapalat" w:hAnsi="GHEA Grapalat"/>
          <w:b/>
          <w:bCs/>
          <w:sz w:val="18"/>
          <w:szCs w:val="18"/>
          <w:lang w:val="hy-AM"/>
        </w:rPr>
        <w:t>6</w:t>
      </w:r>
      <w:r w:rsidRPr="000F07C5">
        <w:rPr>
          <w:rFonts w:ascii="GHEA Grapalat" w:hAnsi="GHEA Grapalat"/>
          <w:b/>
          <w:bCs/>
          <w:sz w:val="18"/>
          <w:szCs w:val="18"/>
          <w:lang w:val="hy-AM"/>
        </w:rPr>
        <w:t xml:space="preserve">թթ. առաջին </w:t>
      </w:r>
      <w:r w:rsidR="000F07C5">
        <w:rPr>
          <w:rFonts w:ascii="GHEA Grapalat" w:hAnsi="GHEA Grapalat"/>
          <w:b/>
          <w:bCs/>
          <w:sz w:val="18"/>
          <w:szCs w:val="18"/>
          <w:lang w:val="hy-AM"/>
        </w:rPr>
        <w:t>կիսամյակ</w:t>
      </w:r>
      <w:r w:rsidR="00B62232">
        <w:rPr>
          <w:rFonts w:ascii="GHEA Grapalat" w:hAnsi="GHEA Grapalat"/>
          <w:b/>
          <w:bCs/>
          <w:sz w:val="18"/>
          <w:szCs w:val="18"/>
          <w:lang w:val="hy-AM"/>
        </w:rPr>
        <w:t>ում</w:t>
      </w:r>
      <w:r w:rsidRPr="00484845">
        <w:rPr>
          <w:rFonts w:ascii="GHEA Grapalat" w:hAnsi="GHEA Grapalat" w:cs="Sylfaen"/>
          <w:noProof/>
          <w:sz w:val="20"/>
        </w:rPr>
        <w:drawing>
          <wp:inline distT="0" distB="0" distL="0" distR="0" wp14:anchorId="48AAED66" wp14:editId="0CE25341">
            <wp:extent cx="6456459" cy="2724150"/>
            <wp:effectExtent l="0" t="0" r="190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C88F1F5" w14:textId="7C97FD57" w:rsidR="00B02B97" w:rsidRPr="00EE0D8B" w:rsidRDefault="00AD2E63" w:rsidP="006A63AA">
      <w:pPr>
        <w:pStyle w:val="ListParagraph"/>
        <w:spacing w:after="0" w:line="276" w:lineRule="auto"/>
        <w:ind w:left="0"/>
        <w:jc w:val="both"/>
        <w:rPr>
          <w:rFonts w:ascii="GHEA Grapalat" w:eastAsia="Times New Roman" w:hAnsi="GHEA Grapalat"/>
          <w:i/>
          <w:noProof/>
          <w:sz w:val="16"/>
          <w:szCs w:val="16"/>
          <w:lang w:val="hy-AM"/>
        </w:rPr>
      </w:pPr>
      <w:r w:rsidRPr="00CB2F70">
        <w:rPr>
          <w:rFonts w:ascii="GHEA Grapalat" w:hAnsi="GHEA Grapalat"/>
          <w:i/>
          <w:noProof/>
          <w:sz w:val="16"/>
          <w:szCs w:val="16"/>
          <w:lang w:val="hy-AM"/>
        </w:rPr>
        <w:t xml:space="preserve">Ծանոթագրություն. </w:t>
      </w:r>
      <w:r w:rsidR="007176E8" w:rsidRPr="00EE0D8B">
        <w:rPr>
          <w:rFonts w:ascii="GHEA Grapalat" w:eastAsia="Times New Roman" w:hAnsi="GHEA Grapalat"/>
          <w:i/>
          <w:noProof/>
          <w:sz w:val="16"/>
          <w:szCs w:val="16"/>
          <w:lang w:val="hy-AM"/>
        </w:rPr>
        <w:t>2021-2023թ</w:t>
      </w:r>
      <w:r w:rsidR="00924561" w:rsidRPr="00EE0D8B">
        <w:rPr>
          <w:rFonts w:ascii="GHEA Grapalat" w:eastAsia="Times New Roman" w:hAnsi="GHEA Grapalat"/>
          <w:i/>
          <w:noProof/>
          <w:sz w:val="16"/>
          <w:szCs w:val="16"/>
          <w:lang w:val="hy-AM"/>
        </w:rPr>
        <w:t>թ.</w:t>
      </w:r>
      <w:r w:rsidR="007176E8" w:rsidRPr="00EE0D8B">
        <w:rPr>
          <w:rFonts w:ascii="GHEA Grapalat" w:eastAsia="Times New Roman" w:hAnsi="GHEA Grapalat"/>
          <w:i/>
          <w:noProof/>
          <w:sz w:val="16"/>
          <w:szCs w:val="16"/>
          <w:lang w:val="hy-AM"/>
        </w:rPr>
        <w:t xml:space="preserve"> համար բերված ցուցանիշները ներառում են հի</w:t>
      </w:r>
      <w:r w:rsidR="00924561" w:rsidRPr="00EE0D8B">
        <w:rPr>
          <w:rFonts w:ascii="GHEA Grapalat" w:eastAsia="Times New Roman" w:hAnsi="GHEA Grapalat"/>
          <w:i/>
          <w:noProof/>
          <w:sz w:val="16"/>
          <w:szCs w:val="16"/>
          <w:lang w:val="hy-AM"/>
        </w:rPr>
        <w:t>պ</w:t>
      </w:r>
      <w:r w:rsidR="007176E8" w:rsidRPr="00EE0D8B">
        <w:rPr>
          <w:rFonts w:ascii="GHEA Grapalat" w:eastAsia="Times New Roman" w:hAnsi="GHEA Grapalat"/>
          <w:i/>
          <w:noProof/>
          <w:sz w:val="16"/>
          <w:szCs w:val="16"/>
          <w:lang w:val="hy-AM"/>
        </w:rPr>
        <w:t>ո</w:t>
      </w:r>
      <w:r w:rsidR="00924561" w:rsidRPr="00EE0D8B">
        <w:rPr>
          <w:rFonts w:ascii="GHEA Grapalat" w:eastAsia="Times New Roman" w:hAnsi="GHEA Grapalat"/>
          <w:i/>
          <w:noProof/>
          <w:sz w:val="16"/>
          <w:szCs w:val="16"/>
          <w:lang w:val="hy-AM"/>
        </w:rPr>
        <w:t>տ</w:t>
      </w:r>
      <w:r w:rsidR="007176E8" w:rsidRPr="00EE0D8B">
        <w:rPr>
          <w:rFonts w:ascii="GHEA Grapalat" w:eastAsia="Times New Roman" w:hAnsi="GHEA Grapalat"/>
          <w:i/>
          <w:noProof/>
          <w:sz w:val="16"/>
          <w:szCs w:val="16"/>
          <w:lang w:val="hy-AM"/>
        </w:rPr>
        <w:t>ե</w:t>
      </w:r>
      <w:r w:rsidR="00924561" w:rsidRPr="00EE0D8B">
        <w:rPr>
          <w:rFonts w:ascii="GHEA Grapalat" w:eastAsia="Times New Roman" w:hAnsi="GHEA Grapalat"/>
          <w:i/>
          <w:noProof/>
          <w:sz w:val="16"/>
          <w:szCs w:val="16"/>
          <w:lang w:val="hy-AM"/>
        </w:rPr>
        <w:t>կ</w:t>
      </w:r>
      <w:r w:rsidR="007176E8" w:rsidRPr="00EE0D8B">
        <w:rPr>
          <w:rFonts w:ascii="GHEA Grapalat" w:eastAsia="Times New Roman" w:hAnsi="GHEA Grapalat"/>
          <w:i/>
          <w:noProof/>
          <w:sz w:val="16"/>
          <w:szCs w:val="16"/>
          <w:lang w:val="hy-AM"/>
        </w:rPr>
        <w:t>ի տոկոսագումարների դիմաց եկամտային հարկի վերադարձի մեծությունը։</w:t>
      </w:r>
    </w:p>
    <w:p w14:paraId="6F786EF6" w14:textId="77777777" w:rsidR="006A63AA" w:rsidRPr="006A63AA" w:rsidRDefault="006A63AA" w:rsidP="007923D1">
      <w:pPr>
        <w:spacing w:after="0" w:line="276" w:lineRule="auto"/>
        <w:ind w:firstLine="567"/>
        <w:jc w:val="both"/>
        <w:rPr>
          <w:rFonts w:ascii="GHEA Grapalat" w:hAnsi="GHEA Grapalat" w:cs="GHEA Grapalat"/>
          <w:lang w:val="hy-AM"/>
        </w:rPr>
      </w:pPr>
    </w:p>
    <w:p w14:paraId="6CCC6805" w14:textId="0CEB43BB" w:rsidR="005C6BE6" w:rsidRPr="007176E8" w:rsidRDefault="005C6BE6" w:rsidP="005C6BE6">
      <w:pPr>
        <w:spacing w:after="0" w:line="276" w:lineRule="auto"/>
        <w:ind w:firstLine="567"/>
        <w:jc w:val="both"/>
        <w:rPr>
          <w:rFonts w:ascii="GHEA Grapalat" w:hAnsi="GHEA Grapalat" w:cs="GHEA Grapalat"/>
          <w:lang w:val="hy-AM"/>
        </w:rPr>
      </w:pPr>
      <w:r w:rsidRPr="00921AF2">
        <w:rPr>
          <w:rFonts w:ascii="GHEA Grapalat" w:hAnsi="GHEA Grapalat" w:cs="GHEA Grapalat"/>
          <w:b/>
          <w:i/>
          <w:lang w:val="hy-AM"/>
        </w:rPr>
        <w:t>Պետական բյուջեի ծախսերը:</w:t>
      </w:r>
      <w:r w:rsidRPr="00921AF2">
        <w:rPr>
          <w:rFonts w:ascii="GHEA Grapalat" w:hAnsi="GHEA Grapalat" w:cs="GHEA Grapalat"/>
          <w:lang w:val="hy-AM"/>
        </w:rPr>
        <w:t xml:space="preserve"> Պետական բյուջեի </w:t>
      </w:r>
      <w:r>
        <w:rPr>
          <w:rFonts w:ascii="GHEA Grapalat" w:hAnsi="GHEA Grapalat" w:cs="GHEA Grapalat"/>
          <w:lang w:val="hy-AM"/>
        </w:rPr>
        <w:t xml:space="preserve">ընթացիկ </w:t>
      </w:r>
      <w:r w:rsidRPr="00921AF2">
        <w:rPr>
          <w:rFonts w:ascii="GHEA Grapalat" w:hAnsi="GHEA Grapalat" w:cs="GHEA Grapalat"/>
          <w:lang w:val="hy-AM"/>
        </w:rPr>
        <w:t>ծախսերը 202</w:t>
      </w:r>
      <w:r>
        <w:rPr>
          <w:rFonts w:ascii="GHEA Grapalat" w:hAnsi="GHEA Grapalat" w:cs="GHEA Grapalat"/>
          <w:lang w:val="hy-AM"/>
        </w:rPr>
        <w:t>6թ.</w:t>
      </w:r>
      <w:r w:rsidRPr="00921AF2">
        <w:rPr>
          <w:rFonts w:ascii="GHEA Grapalat" w:hAnsi="GHEA Grapalat" w:cs="GHEA Grapalat"/>
          <w:lang w:val="hy-AM"/>
        </w:rPr>
        <w:t xml:space="preserve"> </w:t>
      </w:r>
      <w:r>
        <w:rPr>
          <w:rFonts w:ascii="GHEA Grapalat" w:hAnsi="GHEA Grapalat" w:cs="GHEA Grapalat"/>
          <w:lang w:val="hy-AM"/>
        </w:rPr>
        <w:t>առաջին կիսամյակում</w:t>
      </w:r>
      <w:r w:rsidR="000739EB">
        <w:rPr>
          <w:rFonts w:ascii="GHEA Grapalat" w:hAnsi="GHEA Grapalat" w:cs="GHEA Grapalat"/>
          <w:lang w:val="hy-AM"/>
        </w:rPr>
        <w:t xml:space="preserve"> բարձր աճ են գրանցել</w:t>
      </w:r>
      <w:r>
        <w:rPr>
          <w:rFonts w:ascii="GHEA Grapalat" w:hAnsi="GHEA Grapalat" w:cs="GHEA Grapalat"/>
          <w:lang w:val="hy-AM"/>
        </w:rPr>
        <w:t>, իսկ կապիտալ ծախսե</w:t>
      </w:r>
      <w:r w:rsidRPr="00F754D1">
        <w:rPr>
          <w:rFonts w:ascii="GHEA Grapalat" w:hAnsi="GHEA Grapalat" w:cs="GHEA Grapalat"/>
          <w:lang w:val="hy-AM"/>
        </w:rPr>
        <w:t>ր</w:t>
      </w:r>
      <w:r>
        <w:rPr>
          <w:rFonts w:ascii="GHEA Grapalat" w:hAnsi="GHEA Grapalat" w:cs="GHEA Grapalat"/>
          <w:lang w:val="hy-AM"/>
        </w:rPr>
        <w:t xml:space="preserve">ը նվազել են։ </w:t>
      </w:r>
      <w:r w:rsidRPr="00B112B1">
        <w:rPr>
          <w:rFonts w:ascii="GHEA Grapalat" w:hAnsi="GHEA Grapalat" w:cs="GHEA Grapalat"/>
          <w:lang w:val="hy-AM"/>
        </w:rPr>
        <w:t xml:space="preserve">2026թ. առաջին </w:t>
      </w:r>
      <w:r>
        <w:rPr>
          <w:rFonts w:ascii="GHEA Grapalat" w:hAnsi="GHEA Grapalat" w:cs="GHEA Grapalat"/>
          <w:lang w:val="hy-AM"/>
        </w:rPr>
        <w:t>կիսամյակում</w:t>
      </w:r>
      <w:r w:rsidRPr="00B112B1">
        <w:rPr>
          <w:rFonts w:ascii="GHEA Grapalat" w:hAnsi="GHEA Grapalat" w:cs="GHEA Grapalat"/>
          <w:lang w:val="hy-AM"/>
        </w:rPr>
        <w:t xml:space="preserve"> </w:t>
      </w:r>
      <w:r w:rsidRPr="00921AF2">
        <w:rPr>
          <w:rFonts w:ascii="GHEA Grapalat" w:hAnsi="GHEA Grapalat" w:cs="GHEA Grapalat"/>
          <w:lang w:val="hy-AM"/>
        </w:rPr>
        <w:t xml:space="preserve">պետական բյուջեի ծախսերը կազմել </w:t>
      </w:r>
      <w:r>
        <w:rPr>
          <w:rFonts w:ascii="GHEA Grapalat" w:hAnsi="GHEA Grapalat" w:cs="GHEA Grapalat"/>
          <w:lang w:val="hy-AM"/>
        </w:rPr>
        <w:t>են 1,</w:t>
      </w:r>
      <w:r w:rsidRPr="00491B04">
        <w:rPr>
          <w:rFonts w:ascii="GHEA Grapalat" w:hAnsi="GHEA Grapalat" w:cs="GHEA Grapalat"/>
          <w:lang w:val="hy-AM"/>
        </w:rPr>
        <w:t>576</w:t>
      </w:r>
      <w:r>
        <w:rPr>
          <w:rFonts w:ascii="GHEA Grapalat" w:hAnsi="GHEA Grapalat" w:cs="GHEA Grapalat"/>
          <w:lang w:val="hy-AM"/>
        </w:rPr>
        <w:t xml:space="preserve"> </w:t>
      </w:r>
      <w:r w:rsidRPr="00921AF2">
        <w:rPr>
          <w:rFonts w:ascii="GHEA Grapalat" w:hAnsi="GHEA Grapalat" w:cs="GHEA Grapalat"/>
          <w:lang w:val="hy-AM"/>
        </w:rPr>
        <w:t>մլրդ դրամ՝ նախորդ տարվա նույն ժամանակահատվածի համեմատ աճելով</w:t>
      </w:r>
      <w:r>
        <w:rPr>
          <w:rFonts w:ascii="GHEA Grapalat" w:hAnsi="GHEA Grapalat" w:cs="GHEA Grapalat"/>
          <w:lang w:val="hy-AM"/>
        </w:rPr>
        <w:t xml:space="preserve"> 7</w:t>
      </w:r>
      <w:r w:rsidRPr="00921AF2">
        <w:rPr>
          <w:rFonts w:ascii="GHEA Grapalat" w:hAnsi="GHEA Grapalat" w:cs="GHEA Grapalat"/>
          <w:lang w:val="hy-AM"/>
        </w:rPr>
        <w:t>%-ով</w:t>
      </w:r>
      <w:r>
        <w:rPr>
          <w:rFonts w:ascii="GHEA Grapalat" w:hAnsi="GHEA Grapalat" w:cs="GHEA Grapalat"/>
          <w:lang w:val="hy-AM"/>
        </w:rPr>
        <w:t>: Ը</w:t>
      </w:r>
      <w:r w:rsidRPr="00921AF2">
        <w:rPr>
          <w:rFonts w:ascii="GHEA Grapalat" w:hAnsi="GHEA Grapalat" w:cs="GHEA Grapalat"/>
          <w:lang w:val="hy-AM"/>
        </w:rPr>
        <w:t>նթացիկ ծախսերը կազմել են</w:t>
      </w:r>
      <w:r>
        <w:rPr>
          <w:rFonts w:ascii="GHEA Grapalat" w:hAnsi="GHEA Grapalat" w:cs="GHEA Grapalat"/>
          <w:lang w:val="hy-AM"/>
        </w:rPr>
        <w:t xml:space="preserve"> 1,</w:t>
      </w:r>
      <w:r w:rsidR="00983ABA" w:rsidRPr="00491B04">
        <w:rPr>
          <w:rFonts w:ascii="GHEA Grapalat" w:hAnsi="GHEA Grapalat" w:cs="GHEA Grapalat"/>
          <w:lang w:val="hy-AM"/>
        </w:rPr>
        <w:t>366</w:t>
      </w:r>
      <w:r>
        <w:rPr>
          <w:rFonts w:ascii="GHEA Grapalat" w:hAnsi="GHEA Grapalat" w:cs="GHEA Grapalat"/>
          <w:lang w:val="hy-AM"/>
        </w:rPr>
        <w:t xml:space="preserve"> </w:t>
      </w:r>
      <w:r w:rsidRPr="00921AF2">
        <w:rPr>
          <w:rFonts w:ascii="GHEA Grapalat" w:hAnsi="GHEA Grapalat" w:cs="GHEA Grapalat"/>
          <w:lang w:val="hy-AM"/>
        </w:rPr>
        <w:t xml:space="preserve">մլրդ դրամ` նախորդ տարվա նույն ժամանակահատվածի համեմատ աճելով </w:t>
      </w:r>
      <w:r w:rsidRPr="0079088A">
        <w:rPr>
          <w:rFonts w:ascii="GHEA Grapalat" w:hAnsi="GHEA Grapalat" w:cs="GHEA Grapalat"/>
          <w:lang w:val="hy-AM"/>
        </w:rPr>
        <w:t>1</w:t>
      </w:r>
      <w:r>
        <w:rPr>
          <w:rFonts w:ascii="GHEA Grapalat" w:hAnsi="GHEA Grapalat" w:cs="GHEA Grapalat"/>
          <w:lang w:val="hy-AM"/>
        </w:rPr>
        <w:t>6.1</w:t>
      </w:r>
      <w:r w:rsidRPr="00921AF2">
        <w:rPr>
          <w:rFonts w:ascii="GHEA Grapalat" w:hAnsi="GHEA Grapalat" w:cs="GHEA Grapalat"/>
          <w:lang w:val="hy-AM"/>
        </w:rPr>
        <w:t>%-ով:</w:t>
      </w:r>
      <w:r>
        <w:rPr>
          <w:rFonts w:ascii="GHEA Grapalat" w:hAnsi="GHEA Grapalat" w:cs="GHEA Grapalat"/>
          <w:lang w:val="hy-AM"/>
        </w:rPr>
        <w:t xml:space="preserve"> Այնուամենայնիվ, ծրագրվածի համեմատ թերակատարումների հիմնախնդիրը շարունակել է արդիական մնալ՝ ինչպես ընթացիկ, այնպես էլ կապիտալ ծախսերի համար</w:t>
      </w:r>
      <w:r w:rsidR="00E20CF4">
        <w:rPr>
          <w:rFonts w:ascii="GHEA Grapalat" w:hAnsi="GHEA Grapalat" w:cs="GHEA Grapalat"/>
          <w:lang w:val="hy-AM"/>
        </w:rPr>
        <w:t>:</w:t>
      </w:r>
    </w:p>
    <w:p w14:paraId="78BF8851" w14:textId="77777777" w:rsidR="005C6BE6" w:rsidRPr="00921AF2" w:rsidRDefault="005C6BE6" w:rsidP="007923D1">
      <w:pPr>
        <w:spacing w:after="0" w:line="276" w:lineRule="auto"/>
        <w:ind w:firstLine="567"/>
        <w:jc w:val="both"/>
        <w:rPr>
          <w:rFonts w:ascii="GHEA Grapalat" w:hAnsi="GHEA Grapalat" w:cs="GHEA Grapalat"/>
          <w:lang w:val="hy-AM"/>
        </w:rPr>
      </w:pPr>
    </w:p>
    <w:tbl>
      <w:tblPr>
        <w:tblStyle w:val="TableGrid21"/>
        <w:tblW w:w="10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5082"/>
      </w:tblGrid>
      <w:tr w:rsidR="005C6BE6" w:rsidRPr="00CB2F70" w14:paraId="27C85646" w14:textId="77777777" w:rsidTr="00944502">
        <w:trPr>
          <w:trHeight w:val="805"/>
        </w:trPr>
        <w:tc>
          <w:tcPr>
            <w:tcW w:w="5278" w:type="dxa"/>
          </w:tcPr>
          <w:p w14:paraId="66DD790B" w14:textId="704F7DF7" w:rsidR="005C6BE6" w:rsidRPr="00630893" w:rsidRDefault="005C6BE6" w:rsidP="00D34C42">
            <w:pPr>
              <w:keepNext/>
              <w:keepLines/>
              <w:numPr>
                <w:ilvl w:val="0"/>
                <w:numId w:val="1"/>
              </w:numPr>
              <w:tabs>
                <w:tab w:val="left" w:pos="284"/>
                <w:tab w:val="left" w:pos="1276"/>
                <w:tab w:val="left" w:pos="1888"/>
              </w:tabs>
              <w:autoSpaceDE w:val="0"/>
              <w:autoSpaceDN w:val="0"/>
              <w:adjustRightInd w:val="0"/>
              <w:spacing w:line="276" w:lineRule="auto"/>
              <w:ind w:left="-105" w:firstLine="0"/>
              <w:contextualSpacing/>
              <w:jc w:val="both"/>
              <w:rPr>
                <w:b/>
                <w:sz w:val="18"/>
                <w:szCs w:val="18"/>
                <w:lang w:val="hy-AM"/>
              </w:rPr>
            </w:pPr>
            <w:r w:rsidRPr="00630893">
              <w:rPr>
                <w:rFonts w:ascii="GHEA Grapalat" w:hAnsi="GHEA Grapalat" w:cs="Sylfaen"/>
                <w:b/>
                <w:sz w:val="18"/>
                <w:szCs w:val="18"/>
                <w:lang w:val="hy-AM"/>
              </w:rPr>
              <w:t>Պետական բյուջեի ընթացիկ ծախսերը 202</w:t>
            </w:r>
            <w:r w:rsidRPr="0079088A">
              <w:rPr>
                <w:rFonts w:ascii="GHEA Grapalat" w:hAnsi="GHEA Grapalat" w:cs="Sylfaen"/>
                <w:b/>
                <w:sz w:val="18"/>
                <w:szCs w:val="18"/>
                <w:lang w:val="hy-AM"/>
              </w:rPr>
              <w:t>2</w:t>
            </w:r>
            <w:r w:rsidRPr="00630893">
              <w:rPr>
                <w:rFonts w:ascii="GHEA Grapalat" w:hAnsi="GHEA Grapalat" w:cs="Sylfaen"/>
                <w:b/>
                <w:sz w:val="18"/>
                <w:szCs w:val="18"/>
                <w:lang w:val="hy-AM"/>
              </w:rPr>
              <w:t>-202</w:t>
            </w:r>
            <w:r w:rsidRPr="0079088A">
              <w:rPr>
                <w:rFonts w:ascii="GHEA Grapalat" w:hAnsi="GHEA Grapalat" w:cs="Sylfaen"/>
                <w:b/>
                <w:sz w:val="18"/>
                <w:szCs w:val="18"/>
                <w:lang w:val="hy-AM"/>
              </w:rPr>
              <w:t>6</w:t>
            </w:r>
            <w:r w:rsidRPr="00630893">
              <w:rPr>
                <w:rFonts w:ascii="GHEA Grapalat" w:hAnsi="GHEA Grapalat" w:cs="Sylfaen"/>
                <w:b/>
                <w:sz w:val="18"/>
                <w:szCs w:val="18"/>
                <w:lang w:val="hy-AM"/>
              </w:rPr>
              <w:t xml:space="preserve"> թթ. </w:t>
            </w:r>
            <w:r>
              <w:rPr>
                <w:rFonts w:ascii="GHEA Grapalat" w:hAnsi="GHEA Grapalat" w:cs="Sylfaen"/>
                <w:b/>
                <w:sz w:val="18"/>
                <w:szCs w:val="18"/>
                <w:lang w:val="hy-AM"/>
              </w:rPr>
              <w:t>հունվար-</w:t>
            </w:r>
            <w:r w:rsidRPr="00491B04">
              <w:rPr>
                <w:rFonts w:ascii="GHEA Grapalat" w:hAnsi="GHEA Grapalat" w:cs="Sylfaen"/>
                <w:b/>
                <w:sz w:val="18"/>
                <w:szCs w:val="18"/>
                <w:lang w:val="hy-AM"/>
              </w:rPr>
              <w:t>հունիս</w:t>
            </w:r>
            <w:r>
              <w:rPr>
                <w:rFonts w:ascii="GHEA Grapalat" w:hAnsi="GHEA Grapalat" w:cs="Sylfaen"/>
                <w:b/>
                <w:sz w:val="18"/>
                <w:szCs w:val="18"/>
                <w:lang w:val="hy-AM"/>
              </w:rPr>
              <w:t xml:space="preserve"> ամիսներին</w:t>
            </w:r>
          </w:p>
        </w:tc>
        <w:tc>
          <w:tcPr>
            <w:tcW w:w="5082" w:type="dxa"/>
          </w:tcPr>
          <w:p w14:paraId="5979914E" w14:textId="34A05ED9" w:rsidR="005C6BE6" w:rsidRPr="00630893" w:rsidRDefault="005C6BE6" w:rsidP="00D34C42">
            <w:pPr>
              <w:keepNext/>
              <w:keepLines/>
              <w:numPr>
                <w:ilvl w:val="0"/>
                <w:numId w:val="1"/>
              </w:numPr>
              <w:tabs>
                <w:tab w:val="left" w:pos="0"/>
                <w:tab w:val="left" w:pos="284"/>
                <w:tab w:val="left" w:pos="1276"/>
              </w:tabs>
              <w:autoSpaceDE w:val="0"/>
              <w:autoSpaceDN w:val="0"/>
              <w:adjustRightInd w:val="0"/>
              <w:spacing w:line="276" w:lineRule="auto"/>
              <w:ind w:left="0" w:firstLine="0"/>
              <w:contextualSpacing/>
              <w:jc w:val="both"/>
              <w:rPr>
                <w:b/>
                <w:sz w:val="18"/>
                <w:szCs w:val="18"/>
                <w:lang w:val="hy-AM"/>
              </w:rPr>
            </w:pPr>
            <w:r w:rsidRPr="00630893">
              <w:rPr>
                <w:rFonts w:ascii="GHEA Grapalat" w:hAnsi="GHEA Grapalat" w:cs="Sylfaen"/>
                <w:b/>
                <w:sz w:val="18"/>
                <w:szCs w:val="18"/>
                <w:lang w:val="hy-AM"/>
              </w:rPr>
              <w:t>Պետական բյուջեի ոչ ֆինանսական ակտիվների գծով ծախսերը 202</w:t>
            </w:r>
            <w:r>
              <w:rPr>
                <w:rFonts w:ascii="GHEA Grapalat" w:hAnsi="GHEA Grapalat" w:cs="Sylfaen"/>
                <w:b/>
                <w:sz w:val="18"/>
                <w:szCs w:val="18"/>
                <w:lang w:val="hy-AM"/>
              </w:rPr>
              <w:t>2</w:t>
            </w:r>
            <w:r w:rsidRPr="00630893">
              <w:rPr>
                <w:rFonts w:ascii="GHEA Grapalat" w:hAnsi="GHEA Grapalat" w:cs="Sylfaen"/>
                <w:b/>
                <w:sz w:val="18"/>
                <w:szCs w:val="18"/>
                <w:lang w:val="hy-AM"/>
              </w:rPr>
              <w:t>-202</w:t>
            </w:r>
            <w:r>
              <w:rPr>
                <w:rFonts w:ascii="GHEA Grapalat" w:hAnsi="GHEA Grapalat" w:cs="Sylfaen"/>
                <w:b/>
                <w:sz w:val="18"/>
                <w:szCs w:val="18"/>
                <w:lang w:val="hy-AM"/>
              </w:rPr>
              <w:t>6</w:t>
            </w:r>
            <w:r w:rsidRPr="00630893">
              <w:rPr>
                <w:rFonts w:ascii="GHEA Grapalat" w:hAnsi="GHEA Grapalat" w:cs="Sylfaen"/>
                <w:b/>
                <w:sz w:val="18"/>
                <w:szCs w:val="18"/>
                <w:lang w:val="hy-AM"/>
              </w:rPr>
              <w:t xml:space="preserve">թթ. </w:t>
            </w:r>
            <w:r>
              <w:rPr>
                <w:rFonts w:ascii="GHEA Grapalat" w:hAnsi="GHEA Grapalat" w:cs="Sylfaen"/>
                <w:b/>
                <w:sz w:val="18"/>
                <w:szCs w:val="18"/>
                <w:lang w:val="hy-AM"/>
              </w:rPr>
              <w:t>հունվար-հունիս ամիսներին</w:t>
            </w:r>
          </w:p>
        </w:tc>
      </w:tr>
      <w:tr w:rsidR="005C6BE6" w:rsidRPr="00921AF2" w14:paraId="76FE7BA0" w14:textId="77777777" w:rsidTr="00944502">
        <w:trPr>
          <w:trHeight w:val="4184"/>
        </w:trPr>
        <w:tc>
          <w:tcPr>
            <w:tcW w:w="5278" w:type="dxa"/>
          </w:tcPr>
          <w:p w14:paraId="4BA27559" w14:textId="77777777" w:rsidR="005C6BE6" w:rsidRPr="0058197C" w:rsidRDefault="005C6BE6" w:rsidP="00D34C42">
            <w:pPr>
              <w:spacing w:line="276" w:lineRule="auto"/>
              <w:ind w:left="-105"/>
              <w:jc w:val="both"/>
              <w:rPr>
                <w:rFonts w:ascii="GHEA Grapalat" w:hAnsi="GHEA Grapalat" w:cs="GHEA Grapalat"/>
                <w:sz w:val="22"/>
                <w:szCs w:val="22"/>
              </w:rPr>
            </w:pPr>
            <w:r w:rsidRPr="00921AF2">
              <w:rPr>
                <w:rFonts w:ascii="GHEA Grapalat" w:eastAsia="GHEA Grapalat" w:hAnsi="GHEA Grapalat" w:cs="GHEA Grapalat"/>
                <w:b/>
                <w:noProof/>
              </w:rPr>
              <w:drawing>
                <wp:inline distT="0" distB="0" distL="0" distR="0" wp14:anchorId="58563565" wp14:editId="465E4B2A">
                  <wp:extent cx="3220278" cy="2647950"/>
                  <wp:effectExtent l="0" t="0" r="1841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5082" w:type="dxa"/>
          </w:tcPr>
          <w:p w14:paraId="327CC0D5" w14:textId="77777777" w:rsidR="005C6BE6" w:rsidRPr="00921AF2" w:rsidRDefault="005C6BE6" w:rsidP="00944502">
            <w:pPr>
              <w:spacing w:line="276" w:lineRule="auto"/>
              <w:ind w:left="-139" w:right="-110" w:firstLine="139"/>
              <w:jc w:val="both"/>
              <w:rPr>
                <w:rFonts w:ascii="GHEA Grapalat" w:hAnsi="GHEA Grapalat" w:cs="GHEA Grapalat"/>
                <w:sz w:val="22"/>
                <w:szCs w:val="22"/>
                <w:lang w:val="hy-AM"/>
              </w:rPr>
            </w:pPr>
            <w:r w:rsidRPr="00921AF2">
              <w:rPr>
                <w:rFonts w:ascii="GHEA Grapalat" w:eastAsia="GHEA Grapalat" w:hAnsi="GHEA Grapalat" w:cs="GHEA Grapalat"/>
                <w:b/>
                <w:noProof/>
              </w:rPr>
              <w:drawing>
                <wp:inline distT="0" distB="0" distL="0" distR="0" wp14:anchorId="29DD210D" wp14:editId="4FF1B7D5">
                  <wp:extent cx="3085106" cy="2667000"/>
                  <wp:effectExtent l="0" t="0" r="127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1BD99792" w14:textId="77777777" w:rsidR="005C6BE6" w:rsidRPr="00630893" w:rsidRDefault="005C6BE6" w:rsidP="005C6BE6">
      <w:pPr>
        <w:keepNext/>
        <w:keepLines/>
        <w:tabs>
          <w:tab w:val="left" w:pos="0"/>
          <w:tab w:val="left" w:pos="1276"/>
          <w:tab w:val="left" w:pos="1888"/>
        </w:tabs>
        <w:autoSpaceDE w:val="0"/>
        <w:autoSpaceDN w:val="0"/>
        <w:adjustRightInd w:val="0"/>
        <w:spacing w:after="0" w:line="276" w:lineRule="auto"/>
        <w:jc w:val="both"/>
        <w:rPr>
          <w:rFonts w:ascii="GHEA Grapalat" w:hAnsi="GHEA Grapalat"/>
          <w:i/>
          <w:noProof/>
          <w:sz w:val="16"/>
          <w:szCs w:val="16"/>
          <w:lang w:val="hy-AM"/>
        </w:rPr>
      </w:pPr>
      <w:r w:rsidRPr="00510105">
        <w:rPr>
          <w:rFonts w:ascii="GHEA Grapalat" w:hAnsi="GHEA Grapalat"/>
          <w:i/>
          <w:noProof/>
          <w:sz w:val="16"/>
          <w:szCs w:val="16"/>
        </w:rPr>
        <w:t xml:space="preserve">Ծանոթագրություն. </w:t>
      </w:r>
      <w:r w:rsidRPr="00510105">
        <w:rPr>
          <w:rFonts w:ascii="GHEA Grapalat" w:hAnsi="GHEA Grapalat"/>
          <w:i/>
          <w:noProof/>
          <w:sz w:val="16"/>
          <w:szCs w:val="16"/>
          <w:lang w:val="hy-AM"/>
        </w:rPr>
        <w:t>202</w:t>
      </w:r>
      <w:r w:rsidRPr="00510105">
        <w:rPr>
          <w:rFonts w:ascii="GHEA Grapalat" w:hAnsi="GHEA Grapalat"/>
          <w:i/>
          <w:noProof/>
          <w:sz w:val="16"/>
          <w:szCs w:val="16"/>
        </w:rPr>
        <w:t>2</w:t>
      </w:r>
      <w:r w:rsidRPr="00510105">
        <w:rPr>
          <w:rFonts w:ascii="GHEA Grapalat" w:hAnsi="GHEA Grapalat"/>
          <w:i/>
          <w:noProof/>
          <w:sz w:val="16"/>
          <w:szCs w:val="16"/>
          <w:lang w:val="hy-AM"/>
        </w:rPr>
        <w:t>-2023</w:t>
      </w:r>
      <w:r w:rsidRPr="00510105">
        <w:rPr>
          <w:rFonts w:ascii="GHEA Grapalat" w:hAnsi="GHEA Grapalat"/>
          <w:i/>
          <w:noProof/>
          <w:sz w:val="16"/>
          <w:szCs w:val="16"/>
        </w:rPr>
        <w:t>թթ.</w:t>
      </w:r>
      <w:r w:rsidRPr="00510105">
        <w:rPr>
          <w:rFonts w:ascii="GHEA Grapalat" w:hAnsi="GHEA Grapalat"/>
          <w:i/>
          <w:noProof/>
          <w:sz w:val="16"/>
          <w:szCs w:val="16"/>
          <w:lang w:val="hy-AM"/>
        </w:rPr>
        <w:t xml:space="preserve"> համար ընթացիկ ծախսերի ցուցանիշները ներառում են հիպ</w:t>
      </w:r>
      <w:r w:rsidRPr="00510105">
        <w:rPr>
          <w:rFonts w:ascii="GHEA Grapalat" w:hAnsi="GHEA Grapalat"/>
          <w:i/>
          <w:noProof/>
          <w:sz w:val="16"/>
          <w:szCs w:val="16"/>
        </w:rPr>
        <w:t>ո</w:t>
      </w:r>
      <w:r w:rsidRPr="00510105">
        <w:rPr>
          <w:rFonts w:ascii="GHEA Grapalat" w:hAnsi="GHEA Grapalat"/>
          <w:i/>
          <w:noProof/>
          <w:sz w:val="16"/>
          <w:szCs w:val="16"/>
          <w:lang w:val="hy-AM"/>
        </w:rPr>
        <w:t>տ</w:t>
      </w:r>
      <w:r w:rsidRPr="00510105">
        <w:rPr>
          <w:rFonts w:ascii="GHEA Grapalat" w:hAnsi="GHEA Grapalat"/>
          <w:i/>
          <w:noProof/>
          <w:sz w:val="16"/>
          <w:szCs w:val="16"/>
        </w:rPr>
        <w:t>ե</w:t>
      </w:r>
      <w:r w:rsidRPr="00510105">
        <w:rPr>
          <w:rFonts w:ascii="GHEA Grapalat" w:hAnsi="GHEA Grapalat"/>
          <w:i/>
          <w:noProof/>
          <w:sz w:val="16"/>
          <w:szCs w:val="16"/>
          <w:lang w:val="hy-AM"/>
        </w:rPr>
        <w:t>կի տոկոսագումարների դիմաց եկամտային հարկի վերադարձի մեծությունը</w:t>
      </w:r>
      <w:r w:rsidRPr="00510105">
        <w:rPr>
          <w:rFonts w:ascii="GHEA Grapalat" w:hAnsi="GHEA Grapalat"/>
          <w:i/>
          <w:noProof/>
          <w:sz w:val="16"/>
          <w:szCs w:val="16"/>
        </w:rPr>
        <w:t>՝ հաջորդող տարիների ցուցանիշների հետ համադրելիություն ապահովելու նպատակով</w:t>
      </w:r>
      <w:r w:rsidRPr="00510105">
        <w:rPr>
          <w:rFonts w:ascii="GHEA Grapalat" w:hAnsi="GHEA Grapalat"/>
          <w:i/>
          <w:noProof/>
          <w:sz w:val="16"/>
          <w:szCs w:val="16"/>
          <w:lang w:val="hy-AM"/>
        </w:rPr>
        <w:t>։</w:t>
      </w:r>
      <w:r w:rsidRPr="00630893">
        <w:rPr>
          <w:rFonts w:ascii="GHEA Grapalat" w:hAnsi="GHEA Grapalat"/>
          <w:i/>
          <w:noProof/>
          <w:sz w:val="16"/>
          <w:szCs w:val="16"/>
          <w:lang w:val="hy-AM"/>
        </w:rPr>
        <w:t xml:space="preserve"> </w:t>
      </w:r>
    </w:p>
    <w:p w14:paraId="05988BFE" w14:textId="77777777" w:rsidR="005C6BE6" w:rsidRDefault="005C6BE6" w:rsidP="005C6BE6">
      <w:pPr>
        <w:spacing w:after="0" w:line="276" w:lineRule="auto"/>
        <w:ind w:firstLine="567"/>
        <w:contextualSpacing/>
        <w:jc w:val="both"/>
        <w:rPr>
          <w:rFonts w:ascii="GHEA Grapalat" w:eastAsia="Calibri" w:hAnsi="GHEA Grapalat" w:cs="Sylfaen"/>
          <w:lang w:val="hy-AM"/>
        </w:rPr>
      </w:pPr>
    </w:p>
    <w:p w14:paraId="483F3B7B" w14:textId="60CD7A82" w:rsidR="005C6BE6" w:rsidRPr="004F555D" w:rsidRDefault="005C6BE6" w:rsidP="005C6BE6">
      <w:pPr>
        <w:spacing w:after="0" w:line="276" w:lineRule="auto"/>
        <w:ind w:firstLine="567"/>
        <w:contextualSpacing/>
        <w:jc w:val="both"/>
        <w:rPr>
          <w:rFonts w:ascii="GHEA Grapalat" w:eastAsia="Calibri" w:hAnsi="GHEA Grapalat" w:cs="Sylfaen"/>
          <w:lang w:val="hy-AM"/>
        </w:rPr>
      </w:pPr>
      <w:r w:rsidRPr="00921AF2">
        <w:rPr>
          <w:rFonts w:ascii="GHEA Grapalat" w:eastAsia="Calibri" w:hAnsi="GHEA Grapalat" w:cs="Sylfaen"/>
          <w:lang w:val="hy-AM"/>
        </w:rPr>
        <w:t xml:space="preserve">Ոչ ֆինանսական ակտիվների հետ գործառնությունները կազմել են </w:t>
      </w:r>
      <w:r>
        <w:rPr>
          <w:rFonts w:ascii="GHEA Grapalat" w:eastAsia="Calibri" w:hAnsi="GHEA Grapalat" w:cs="Sylfaen"/>
          <w:lang w:val="hy-AM"/>
        </w:rPr>
        <w:t>209.8</w:t>
      </w:r>
      <w:r w:rsidRPr="00B91A2E" w:rsidDel="00B91A2E">
        <w:rPr>
          <w:rFonts w:ascii="GHEA Grapalat" w:eastAsia="Calibri" w:hAnsi="GHEA Grapalat" w:cs="Sylfaen"/>
          <w:lang w:val="hy-AM"/>
        </w:rPr>
        <w:t xml:space="preserve"> </w:t>
      </w:r>
      <w:r w:rsidRPr="00921AF2">
        <w:rPr>
          <w:rFonts w:ascii="GHEA Grapalat" w:eastAsia="Calibri" w:hAnsi="GHEA Grapalat" w:cs="Sylfaen"/>
          <w:lang w:val="hy-AM"/>
        </w:rPr>
        <w:t xml:space="preserve">մլրդ դրամ, որում ոչ ֆինանսական ակտիվների գծով ծախսերը (կապիտալ ծախսեր) կազմել են </w:t>
      </w:r>
      <w:r>
        <w:rPr>
          <w:rFonts w:ascii="GHEA Grapalat" w:eastAsia="Calibri" w:hAnsi="GHEA Grapalat" w:cs="Sylfaen"/>
          <w:lang w:val="hy-AM"/>
        </w:rPr>
        <w:t>212.1</w:t>
      </w:r>
      <w:r w:rsidRPr="00B91A2E" w:rsidDel="00B91A2E">
        <w:rPr>
          <w:rFonts w:ascii="GHEA Grapalat" w:eastAsia="Calibri" w:hAnsi="GHEA Grapalat" w:cs="Sylfaen"/>
          <w:lang w:val="hy-AM"/>
        </w:rPr>
        <w:t xml:space="preserve"> </w:t>
      </w:r>
      <w:r w:rsidRPr="00921AF2">
        <w:rPr>
          <w:rFonts w:ascii="GHEA Grapalat" w:eastAsia="Calibri" w:hAnsi="GHEA Grapalat" w:cs="Sylfaen"/>
          <w:lang w:val="hy-AM"/>
        </w:rPr>
        <w:t xml:space="preserve">մլրդ դրամ` նախորդ տարվա նույն ժամանակահատվածի նկատմամբ </w:t>
      </w:r>
      <w:r>
        <w:rPr>
          <w:rFonts w:ascii="GHEA Grapalat" w:eastAsia="Calibri" w:hAnsi="GHEA Grapalat" w:cs="Sylfaen"/>
          <w:lang w:val="hy-AM"/>
        </w:rPr>
        <w:t>նվազելով</w:t>
      </w:r>
      <w:r w:rsidRPr="00921AF2">
        <w:rPr>
          <w:rFonts w:ascii="GHEA Grapalat" w:eastAsia="Calibri" w:hAnsi="GHEA Grapalat" w:cs="Sylfaen"/>
          <w:lang w:val="hy-AM"/>
        </w:rPr>
        <w:t xml:space="preserve"> </w:t>
      </w:r>
      <w:r>
        <w:rPr>
          <w:rFonts w:ascii="GHEA Grapalat" w:eastAsia="Calibri" w:hAnsi="GHEA Grapalat" w:cs="Sylfaen"/>
          <w:lang w:val="hy-AM"/>
        </w:rPr>
        <w:t>28.3</w:t>
      </w:r>
      <w:r w:rsidRPr="00921AF2">
        <w:rPr>
          <w:rFonts w:ascii="GHEA Grapalat" w:eastAsia="Calibri" w:hAnsi="GHEA Grapalat" w:cs="Sylfaen"/>
          <w:lang w:val="hy-AM"/>
        </w:rPr>
        <w:t xml:space="preserve">%-ով: Ե՛վ ներքին, և՛ արտաքին միջոցների </w:t>
      </w:r>
      <w:r w:rsidRPr="00646353">
        <w:rPr>
          <w:rFonts w:ascii="GHEA Grapalat" w:eastAsia="Calibri" w:hAnsi="GHEA Grapalat" w:cs="Sylfaen"/>
          <w:lang w:val="hy-AM"/>
        </w:rPr>
        <w:t>հաշվին իրականացված կապիտալ ծախսերը ճշտված պլանի նկատմամբ թերակատարվել են:</w:t>
      </w:r>
    </w:p>
    <w:p w14:paraId="3CD9BDF8" w14:textId="59AB0E43" w:rsidR="005C6BE6" w:rsidRDefault="005C6BE6" w:rsidP="005C6BE6">
      <w:pPr>
        <w:spacing w:after="0" w:line="276" w:lineRule="auto"/>
        <w:ind w:firstLine="567"/>
        <w:contextualSpacing/>
        <w:jc w:val="both"/>
        <w:rPr>
          <w:rFonts w:ascii="GHEA Grapalat" w:hAnsi="GHEA Grapalat" w:cs="GHEA Grapalat"/>
          <w:lang w:val="hy-AM"/>
        </w:rPr>
      </w:pPr>
      <w:r>
        <w:rPr>
          <w:rFonts w:ascii="GHEA Grapalat" w:hAnsi="GHEA Grapalat" w:cs="GHEA Grapalat"/>
          <w:lang w:val="hy-AM"/>
        </w:rPr>
        <w:t>Պետք է նկատել, որ վ</w:t>
      </w:r>
      <w:r w:rsidRPr="00B91A2E">
        <w:rPr>
          <w:rFonts w:ascii="GHEA Grapalat" w:hAnsi="GHEA Grapalat" w:cs="GHEA Grapalat"/>
          <w:lang w:val="hy-AM"/>
        </w:rPr>
        <w:t>երջին տարիներին կապիտալ ծախսերի ծրագրային ցուցանիշների</w:t>
      </w:r>
      <w:r>
        <w:rPr>
          <w:rFonts w:ascii="GHEA Grapalat" w:hAnsi="GHEA Grapalat" w:cs="GHEA Grapalat"/>
          <w:lang w:val="hy-AM"/>
        </w:rPr>
        <w:t xml:space="preserve"> շարունակական</w:t>
      </w:r>
      <w:r w:rsidRPr="00B91A2E">
        <w:rPr>
          <w:rFonts w:ascii="GHEA Grapalat" w:hAnsi="GHEA Grapalat" w:cs="GHEA Grapalat"/>
          <w:lang w:val="hy-AM"/>
        </w:rPr>
        <w:t xml:space="preserve"> բարձրացման պայմաններում կատարողականի ցածր ցուցանիշները հուշում են, որ կապիտալ ծրագրերի ծրագրման և իրականացման արդյունավետության բարձրացման խնդիրը շարունակում է մնալ արդիական։ </w:t>
      </w:r>
      <w:r>
        <w:rPr>
          <w:rFonts w:ascii="GHEA Grapalat" w:hAnsi="GHEA Grapalat" w:cs="GHEA Grapalat"/>
          <w:lang w:val="hy-AM"/>
        </w:rPr>
        <w:t xml:space="preserve">Միաժամանակ, տարվա ընթացքում կատարողականի ցուցանիշների տատանողականությունը </w:t>
      </w:r>
      <w:r w:rsidRPr="007E25B3">
        <w:rPr>
          <w:rFonts w:ascii="GHEA Grapalat" w:hAnsi="GHEA Grapalat" w:cs="GHEA Grapalat"/>
          <w:lang w:val="hy-AM"/>
        </w:rPr>
        <w:t>(</w:t>
      </w:r>
      <w:r>
        <w:rPr>
          <w:rFonts w:ascii="GHEA Grapalat" w:hAnsi="GHEA Grapalat" w:cs="GHEA Grapalat"/>
          <w:lang w:val="hy-AM"/>
        </w:rPr>
        <w:t>հատկապես՝ տարեսկզբին ցածր և տարեվերջին վերականգնվող օրինաչափությունը</w:t>
      </w:r>
      <w:r w:rsidRPr="007E25B3">
        <w:rPr>
          <w:rFonts w:ascii="GHEA Grapalat" w:hAnsi="GHEA Grapalat" w:cs="GHEA Grapalat"/>
          <w:lang w:val="hy-AM"/>
        </w:rPr>
        <w:t>)</w:t>
      </w:r>
      <w:r>
        <w:rPr>
          <w:rFonts w:ascii="GHEA Grapalat" w:hAnsi="GHEA Grapalat" w:cs="GHEA Grapalat"/>
          <w:lang w:val="hy-AM"/>
        </w:rPr>
        <w:t xml:space="preserve"> ևս կապ</w:t>
      </w:r>
      <w:r w:rsidRPr="00ED7E14">
        <w:rPr>
          <w:rFonts w:ascii="GHEA Grapalat" w:hAnsi="GHEA Grapalat" w:cs="GHEA Grapalat"/>
          <w:lang w:val="hy-AM"/>
        </w:rPr>
        <w:t>ի</w:t>
      </w:r>
      <w:r>
        <w:rPr>
          <w:rFonts w:ascii="GHEA Grapalat" w:hAnsi="GHEA Grapalat" w:cs="GHEA Grapalat"/>
          <w:lang w:val="hy-AM"/>
        </w:rPr>
        <w:t>տալ ծախսերի իրականացման բնութագրիչ առանձնահատկություն է։</w:t>
      </w:r>
    </w:p>
    <w:p w14:paraId="0859963C" w14:textId="33A3BA3B" w:rsidR="005C6BE6" w:rsidRPr="00921AF2" w:rsidRDefault="005C6BE6" w:rsidP="005C6BE6">
      <w:pPr>
        <w:spacing w:after="0" w:line="276" w:lineRule="auto"/>
        <w:ind w:firstLine="567"/>
        <w:contextualSpacing/>
        <w:jc w:val="both"/>
        <w:rPr>
          <w:rFonts w:ascii="GHEA Grapalat" w:eastAsia="Calibri" w:hAnsi="GHEA Grapalat" w:cs="Sylfaen"/>
          <w:lang w:val="hy-AM"/>
        </w:rPr>
      </w:pPr>
      <w:r w:rsidRPr="00921AF2">
        <w:rPr>
          <w:rFonts w:ascii="GHEA Grapalat" w:hAnsi="GHEA Grapalat" w:cs="GHEA Grapalat"/>
          <w:b/>
          <w:i/>
          <w:lang w:val="hy-AM"/>
        </w:rPr>
        <w:t>Պետական աջակցության ծրագրերը:</w:t>
      </w:r>
      <w:r w:rsidRPr="00921AF2">
        <w:rPr>
          <w:rFonts w:ascii="GHEA Grapalat" w:hAnsi="GHEA Grapalat" w:cs="GHEA Grapalat"/>
          <w:lang w:val="hy-AM"/>
        </w:rPr>
        <w:t xml:space="preserve"> </w:t>
      </w:r>
      <w:r w:rsidRPr="00921AF2">
        <w:rPr>
          <w:rFonts w:ascii="GHEA Grapalat" w:eastAsia="Calibri" w:hAnsi="GHEA Grapalat" w:cs="Sylfaen"/>
          <w:lang w:val="hy-AM"/>
        </w:rPr>
        <w:t>Տնտեսական ներուժի բարձրացմանը</w:t>
      </w:r>
      <w:r>
        <w:rPr>
          <w:rFonts w:ascii="GHEA Grapalat" w:eastAsia="Calibri" w:hAnsi="GHEA Grapalat" w:cs="Sylfaen"/>
          <w:lang w:val="hy-AM"/>
        </w:rPr>
        <w:t xml:space="preserve"> և</w:t>
      </w:r>
      <w:r w:rsidRPr="00921AF2">
        <w:rPr>
          <w:rFonts w:ascii="GHEA Grapalat" w:eastAsia="Calibri" w:hAnsi="GHEA Grapalat" w:cs="Sylfaen"/>
          <w:lang w:val="hy-AM"/>
        </w:rPr>
        <w:t xml:space="preserve"> առանձին ոլորտներում առաջացող հիմնախնդիրներին ուղղված հարկաբյուջետային աջակցության ծրագրերը </w:t>
      </w:r>
      <w:r w:rsidRPr="00921AF2">
        <w:rPr>
          <w:rFonts w:ascii="GHEA Grapalat" w:eastAsia="Calibri" w:hAnsi="GHEA Grapalat" w:cs="Sylfaen"/>
          <w:lang w:val="hy-AM"/>
        </w:rPr>
        <w:lastRenderedPageBreak/>
        <w:t>202</w:t>
      </w:r>
      <w:r>
        <w:rPr>
          <w:rFonts w:ascii="GHEA Grapalat" w:eastAsia="Calibri" w:hAnsi="GHEA Grapalat" w:cs="Sylfaen"/>
          <w:lang w:val="hy-AM"/>
        </w:rPr>
        <w:t xml:space="preserve">6թ. առաջին կիսամյակում </w:t>
      </w:r>
      <w:r w:rsidRPr="00921AF2">
        <w:rPr>
          <w:rFonts w:ascii="GHEA Grapalat" w:eastAsia="GHEA Grapalat" w:hAnsi="GHEA Grapalat" w:cs="GHEA Grapalat"/>
          <w:lang w:val="hy-AM"/>
        </w:rPr>
        <w:t>շարունակ</w:t>
      </w:r>
      <w:r>
        <w:rPr>
          <w:rFonts w:ascii="GHEA Grapalat" w:eastAsia="GHEA Grapalat" w:hAnsi="GHEA Grapalat" w:cs="GHEA Grapalat"/>
          <w:lang w:val="hy-AM"/>
        </w:rPr>
        <w:t>վել</w:t>
      </w:r>
      <w:r w:rsidRPr="00921AF2">
        <w:rPr>
          <w:rFonts w:ascii="GHEA Grapalat" w:eastAsia="Calibri" w:hAnsi="GHEA Grapalat" w:cs="Sylfaen"/>
          <w:lang w:val="hy-AM"/>
        </w:rPr>
        <w:t xml:space="preserve"> են, իսկ </w:t>
      </w:r>
      <w:r>
        <w:rPr>
          <w:rFonts w:ascii="GHEA Grapalat" w:eastAsia="Calibri" w:hAnsi="GHEA Grapalat" w:cs="Sylfaen"/>
          <w:lang w:val="hy-AM"/>
        </w:rPr>
        <w:t xml:space="preserve">Ղարաբաղից </w:t>
      </w:r>
      <w:r w:rsidRPr="00921AF2">
        <w:rPr>
          <w:rFonts w:ascii="GHEA Grapalat" w:eastAsia="Calibri" w:hAnsi="GHEA Grapalat" w:cs="Sylfaen"/>
          <w:lang w:val="hy-AM"/>
        </w:rPr>
        <w:t>բռնի տեղահանված բնակչության կարիքները հասցեագրվել են</w:t>
      </w:r>
      <w:r>
        <w:rPr>
          <w:rFonts w:ascii="GHEA Grapalat" w:eastAsia="Calibri" w:hAnsi="GHEA Grapalat" w:cs="Sylfaen"/>
          <w:lang w:val="hy-AM"/>
        </w:rPr>
        <w:t xml:space="preserve"> </w:t>
      </w:r>
      <w:r w:rsidRPr="00921AF2">
        <w:rPr>
          <w:rFonts w:ascii="GHEA Grapalat" w:eastAsia="Calibri" w:hAnsi="GHEA Grapalat" w:cs="Sylfaen"/>
          <w:lang w:val="hy-AM"/>
        </w:rPr>
        <w:t>պետական աջակցության գործիքներով</w:t>
      </w:r>
      <w:r w:rsidR="005A6A8A">
        <w:rPr>
          <w:rFonts w:ascii="GHEA Grapalat" w:eastAsia="Calibri" w:hAnsi="GHEA Grapalat" w:cs="Sylfaen"/>
          <w:lang w:val="hy-AM"/>
        </w:rPr>
        <w:t>:</w:t>
      </w:r>
    </w:p>
    <w:p w14:paraId="6FE525AE" w14:textId="6BF15744" w:rsidR="005C6BE6" w:rsidRPr="00921AF2" w:rsidRDefault="005C6BE6" w:rsidP="005C6BE6">
      <w:pPr>
        <w:spacing w:after="0" w:line="276" w:lineRule="auto"/>
        <w:ind w:firstLine="567"/>
        <w:contextualSpacing/>
        <w:jc w:val="both"/>
        <w:rPr>
          <w:rFonts w:ascii="GHEA Grapalat" w:eastAsia="Calibri" w:hAnsi="GHEA Grapalat" w:cs="Sylfaen"/>
          <w:lang w:val="hy-AM"/>
        </w:rPr>
      </w:pPr>
      <w:r w:rsidRPr="004C129B">
        <w:rPr>
          <w:rFonts w:ascii="GHEA Grapalat" w:eastAsia="Calibri" w:hAnsi="GHEA Grapalat" w:cs="Sylfaen"/>
          <w:lang w:val="hy-AM"/>
        </w:rPr>
        <w:t>Տնտեսության արդիականացմանը պետական աջակցության</w:t>
      </w:r>
      <w:r w:rsidRPr="00F754D1">
        <w:rPr>
          <w:rFonts w:ascii="GHEA Grapalat" w:eastAsia="Calibri" w:hAnsi="GHEA Grapalat" w:cs="Sylfaen"/>
          <w:lang w:val="hy-AM"/>
        </w:rPr>
        <w:t xml:space="preserve"> և</w:t>
      </w:r>
      <w:r w:rsidRPr="004C129B">
        <w:rPr>
          <w:rFonts w:ascii="GHEA Grapalat" w:eastAsia="Calibri" w:hAnsi="GHEA Grapalat" w:cs="Sylfaen"/>
          <w:lang w:val="hy-AM"/>
        </w:rPr>
        <w:t xml:space="preserve"> </w:t>
      </w:r>
      <w:r w:rsidRPr="00F754D1">
        <w:rPr>
          <w:rFonts w:ascii="GHEA Grapalat" w:eastAsia="Calibri" w:hAnsi="GHEA Grapalat" w:cs="Sylfaen"/>
          <w:lang w:val="hy-AM"/>
        </w:rPr>
        <w:t>բ</w:t>
      </w:r>
      <w:r w:rsidRPr="004C129B">
        <w:rPr>
          <w:rFonts w:ascii="GHEA Grapalat" w:eastAsia="Calibri" w:hAnsi="GHEA Grapalat" w:cs="Sylfaen"/>
          <w:lang w:val="hy-AM"/>
        </w:rPr>
        <w:t xml:space="preserve">արձր որակավորում ունեցող մասնագետների ներգրավման նպատակով տնտեսավարողներին սուբսիդավորման միջոցառումների գծով </w:t>
      </w:r>
      <w:r w:rsidRPr="00921AF2">
        <w:rPr>
          <w:rFonts w:ascii="GHEA Grapalat" w:eastAsia="Calibri" w:hAnsi="GHEA Grapalat" w:cs="Sylfaen"/>
          <w:lang w:val="hy-AM"/>
        </w:rPr>
        <w:t>202</w:t>
      </w:r>
      <w:r>
        <w:rPr>
          <w:rFonts w:ascii="GHEA Grapalat" w:eastAsia="Calibri" w:hAnsi="GHEA Grapalat" w:cs="Sylfaen"/>
          <w:lang w:val="hy-AM"/>
        </w:rPr>
        <w:t>6թ.</w:t>
      </w:r>
      <w:r w:rsidRPr="00921AF2">
        <w:rPr>
          <w:rFonts w:ascii="GHEA Grapalat" w:eastAsia="Calibri" w:hAnsi="GHEA Grapalat" w:cs="Sylfaen"/>
          <w:lang w:val="hy-AM"/>
        </w:rPr>
        <w:t xml:space="preserve"> </w:t>
      </w:r>
      <w:r>
        <w:rPr>
          <w:rFonts w:ascii="GHEA Grapalat" w:eastAsia="Calibri" w:hAnsi="GHEA Grapalat" w:cs="Sylfaen"/>
          <w:lang w:val="hy-AM"/>
        </w:rPr>
        <w:t>առաջին կիսամյակի</w:t>
      </w:r>
      <w:r w:rsidRPr="00921AF2">
        <w:rPr>
          <w:rFonts w:ascii="GHEA Grapalat" w:eastAsia="Calibri" w:hAnsi="GHEA Grapalat" w:cs="Sylfaen"/>
          <w:lang w:val="hy-AM"/>
        </w:rPr>
        <w:t xml:space="preserve"> ծախսերը կազմել են</w:t>
      </w:r>
      <w:r w:rsidRPr="00234BE7">
        <w:rPr>
          <w:rFonts w:ascii="GHEA Grapalat" w:eastAsia="Calibri" w:hAnsi="GHEA Grapalat" w:cs="Sylfaen"/>
          <w:lang w:val="hy-AM"/>
        </w:rPr>
        <w:t xml:space="preserve"> </w:t>
      </w:r>
      <w:r w:rsidR="00912A34">
        <w:rPr>
          <w:rFonts w:ascii="GHEA Grapalat" w:eastAsia="Calibri" w:hAnsi="GHEA Grapalat" w:cs="Sylfaen"/>
          <w:lang w:val="hy-AM"/>
        </w:rPr>
        <w:t>12.7</w:t>
      </w:r>
      <w:r>
        <w:rPr>
          <w:rFonts w:ascii="GHEA Grapalat" w:eastAsia="Calibri" w:hAnsi="GHEA Grapalat" w:cs="Sylfaen"/>
          <w:lang w:val="hy-AM"/>
        </w:rPr>
        <w:t xml:space="preserve"> </w:t>
      </w:r>
      <w:r w:rsidRPr="00921AF2">
        <w:rPr>
          <w:rFonts w:ascii="GHEA Grapalat" w:eastAsia="Calibri" w:hAnsi="GHEA Grapalat" w:cs="Sylfaen"/>
          <w:lang w:val="hy-AM"/>
        </w:rPr>
        <w:t xml:space="preserve">մլրդ դրամ, իսկ Բարձր տեխնոլոգիական արդյունաբերության էկոհամակարգի և շուկայի զարգացման ծրագրի «Պետական աջակցություն տեղեկատվական տեխնոլոգիաների ոլորտում գործունեություն իրականացնող առևտրային կազմակերպություններին և անհատ ձեռնարկատերերին» միջոցառման շրջանակներում փաստացի ծախսերը կազմել են </w:t>
      </w:r>
      <w:r w:rsidRPr="00491B04">
        <w:rPr>
          <w:rFonts w:ascii="GHEA Grapalat" w:eastAsia="Calibri" w:hAnsi="GHEA Grapalat" w:cs="Sylfaen"/>
          <w:lang w:val="hy-AM"/>
        </w:rPr>
        <w:t>2.2</w:t>
      </w:r>
      <w:r>
        <w:rPr>
          <w:rFonts w:ascii="GHEA Grapalat" w:eastAsia="Calibri" w:hAnsi="GHEA Grapalat" w:cs="Sylfaen"/>
          <w:lang w:val="hy-AM"/>
        </w:rPr>
        <w:t xml:space="preserve"> </w:t>
      </w:r>
      <w:r w:rsidRPr="00921AF2">
        <w:rPr>
          <w:rFonts w:ascii="GHEA Grapalat" w:eastAsia="Calibri" w:hAnsi="GHEA Grapalat" w:cs="Sylfaen"/>
          <w:lang w:val="hy-AM"/>
        </w:rPr>
        <w:t>մլրդ դրամ</w:t>
      </w:r>
      <w:r>
        <w:rPr>
          <w:rFonts w:ascii="GHEA Grapalat" w:eastAsia="Calibri" w:hAnsi="GHEA Grapalat" w:cs="Sylfaen"/>
          <w:lang w:val="hy-AM"/>
        </w:rPr>
        <w:t>:</w:t>
      </w:r>
    </w:p>
    <w:p w14:paraId="44E372A8" w14:textId="6920A7B4" w:rsidR="005C6BE6" w:rsidRPr="009E06C1" w:rsidRDefault="005C6BE6" w:rsidP="005C6BE6">
      <w:pPr>
        <w:spacing w:after="0" w:line="276" w:lineRule="auto"/>
        <w:ind w:firstLine="567"/>
        <w:contextualSpacing/>
        <w:jc w:val="both"/>
        <w:rPr>
          <w:rFonts w:ascii="GHEA Grapalat" w:eastAsia="Calibri" w:hAnsi="GHEA Grapalat" w:cs="Sylfaen"/>
          <w:lang w:val="hy-AM"/>
        </w:rPr>
      </w:pPr>
      <w:r w:rsidRPr="00921AF2">
        <w:rPr>
          <w:rFonts w:ascii="GHEA Grapalat" w:eastAsia="Calibri" w:hAnsi="GHEA Grapalat" w:cs="Sylfaen"/>
          <w:lang w:val="hy-AM"/>
        </w:rPr>
        <w:t xml:space="preserve">Հաշվետու ժամանակահատվածում գյուղատնտեսության ոլորտի ծախսերը կազմել են </w:t>
      </w:r>
      <w:r>
        <w:rPr>
          <w:rFonts w:ascii="GHEA Grapalat" w:eastAsia="Calibri" w:hAnsi="GHEA Grapalat" w:cs="Sylfaen"/>
          <w:lang w:val="hy-AM"/>
        </w:rPr>
        <w:t xml:space="preserve">շուրջ </w:t>
      </w:r>
      <w:r w:rsidRPr="00CB2F70">
        <w:rPr>
          <w:rFonts w:ascii="GHEA Grapalat" w:eastAsia="Calibri" w:hAnsi="GHEA Grapalat" w:cs="Sylfaen"/>
          <w:lang w:val="hy-AM"/>
        </w:rPr>
        <w:t>2</w:t>
      </w:r>
      <w:r w:rsidR="007923D1" w:rsidRPr="00CB2F70">
        <w:rPr>
          <w:rFonts w:ascii="GHEA Grapalat" w:eastAsia="Calibri" w:hAnsi="GHEA Grapalat" w:cs="Sylfaen"/>
          <w:lang w:val="hy-AM"/>
        </w:rPr>
        <w:t>2</w:t>
      </w:r>
      <w:r w:rsidR="00CB2F70">
        <w:rPr>
          <w:rFonts w:ascii="GHEA Grapalat" w:eastAsia="Calibri" w:hAnsi="GHEA Grapalat" w:cs="Sylfaen"/>
          <w:lang w:val="hy-AM"/>
        </w:rPr>
        <w:t>.1</w:t>
      </w:r>
      <w:r w:rsidR="00062DDB">
        <w:rPr>
          <w:rFonts w:ascii="Calibri" w:eastAsia="Calibri" w:hAnsi="Calibri" w:cs="Calibri"/>
        </w:rPr>
        <w:t> </w:t>
      </w:r>
      <w:r w:rsidRPr="00921AF2">
        <w:rPr>
          <w:rFonts w:ascii="GHEA Grapalat" w:eastAsia="Calibri" w:hAnsi="GHEA Grapalat" w:cs="Sylfaen"/>
          <w:lang w:val="hy-AM"/>
        </w:rPr>
        <w:t>մլրդ դրամ</w:t>
      </w:r>
      <w:r>
        <w:rPr>
          <w:rFonts w:ascii="GHEA Grapalat" w:eastAsia="Calibri" w:hAnsi="GHEA Grapalat" w:cs="Sylfaen"/>
          <w:lang w:val="hy-AM"/>
        </w:rPr>
        <w:t>,</w:t>
      </w:r>
      <w:r w:rsidRPr="00921AF2">
        <w:rPr>
          <w:rFonts w:ascii="GHEA Grapalat" w:eastAsia="Calibri" w:hAnsi="GHEA Grapalat" w:cs="Sylfaen"/>
          <w:lang w:val="hy-AM"/>
        </w:rPr>
        <w:t xml:space="preserve"> որում </w:t>
      </w:r>
      <w:r w:rsidRPr="00921AF2">
        <w:rPr>
          <w:rFonts w:ascii="GHEA Grapalat" w:eastAsia="GHEA Grapalat" w:hAnsi="GHEA Grapalat" w:cs="GHEA Grapalat"/>
          <w:lang w:val="hy-AM"/>
        </w:rPr>
        <w:t>գերակշռում</w:t>
      </w:r>
      <w:r w:rsidRPr="00921AF2">
        <w:rPr>
          <w:rFonts w:ascii="GHEA Grapalat" w:eastAsia="Calibri" w:hAnsi="GHEA Grapalat" w:cs="Sylfaen"/>
          <w:lang w:val="hy-AM"/>
        </w:rPr>
        <w:t xml:space="preserve"> են</w:t>
      </w:r>
      <w:r w:rsidR="00CB2F70" w:rsidRPr="00CB2F70">
        <w:rPr>
          <w:rFonts w:ascii="GHEA Grapalat" w:eastAsia="Calibri" w:hAnsi="GHEA Grapalat" w:cs="Sylfaen"/>
          <w:lang w:val="hy-AM"/>
        </w:rPr>
        <w:t xml:space="preserve"> </w:t>
      </w:r>
      <w:r w:rsidR="00CB2F70">
        <w:rPr>
          <w:rFonts w:ascii="GHEA Grapalat" w:eastAsia="Calibri" w:hAnsi="GHEA Grapalat" w:cs="Sylfaen"/>
          <w:lang w:val="hy-AM"/>
        </w:rPr>
        <w:t>գյուղատնտեսության աջակցության ծրագրերը</w:t>
      </w:r>
      <w:r w:rsidR="00062DDB">
        <w:rPr>
          <w:rFonts w:ascii="GHEA Grapalat" w:eastAsia="Calibri" w:hAnsi="GHEA Grapalat" w:cs="Sylfaen"/>
        </w:rPr>
        <w:t>,</w:t>
      </w:r>
      <w:r w:rsidR="00CB2F70">
        <w:rPr>
          <w:rFonts w:ascii="GHEA Grapalat" w:eastAsia="Calibri" w:hAnsi="GHEA Grapalat" w:cs="Sylfaen"/>
          <w:lang w:val="hy-AM"/>
        </w:rPr>
        <w:t xml:space="preserve"> մասնավորապես</w:t>
      </w:r>
      <w:r w:rsidR="00062DDB">
        <w:rPr>
          <w:rFonts w:ascii="GHEA Grapalat" w:eastAsia="Calibri" w:hAnsi="GHEA Grapalat" w:cs="Sylfaen"/>
        </w:rPr>
        <w:t>`</w:t>
      </w:r>
      <w:r w:rsidRPr="00921AF2">
        <w:rPr>
          <w:rFonts w:ascii="GHEA Grapalat" w:eastAsia="Calibri" w:hAnsi="GHEA Grapalat" w:cs="Sylfaen"/>
          <w:lang w:val="hy-AM"/>
        </w:rPr>
        <w:t xml:space="preserve"> գյուղատնտեսության արդիականացման (</w:t>
      </w:r>
      <w:r w:rsidRPr="00491B04">
        <w:rPr>
          <w:rFonts w:ascii="GHEA Grapalat" w:eastAsia="Calibri" w:hAnsi="GHEA Grapalat" w:cs="Sylfaen"/>
          <w:lang w:val="hy-AM"/>
        </w:rPr>
        <w:t>13.7</w:t>
      </w:r>
      <w:r w:rsidRPr="00921AF2">
        <w:rPr>
          <w:rFonts w:ascii="GHEA Grapalat" w:eastAsia="Calibri" w:hAnsi="GHEA Grapalat" w:cs="Sylfaen"/>
          <w:lang w:val="hy-AM"/>
        </w:rPr>
        <w:t xml:space="preserve"> մլրդ դրամ)</w:t>
      </w:r>
      <w:r>
        <w:rPr>
          <w:rFonts w:ascii="GHEA Grapalat" w:eastAsia="Calibri" w:hAnsi="GHEA Grapalat" w:cs="Sylfaen"/>
          <w:lang w:val="hy-AM"/>
        </w:rPr>
        <w:t xml:space="preserve"> և </w:t>
      </w:r>
      <w:r w:rsidRPr="00921AF2">
        <w:rPr>
          <w:rFonts w:ascii="GHEA Grapalat" w:eastAsia="Calibri" w:hAnsi="GHEA Grapalat" w:cs="Sylfaen"/>
          <w:lang w:val="hy-AM"/>
        </w:rPr>
        <w:t>գյուղատնտեսության խթանման ծրագրերը (</w:t>
      </w:r>
      <w:r w:rsidR="007923D1">
        <w:rPr>
          <w:rFonts w:ascii="GHEA Grapalat" w:eastAsia="Calibri" w:hAnsi="GHEA Grapalat" w:cs="Sylfaen"/>
          <w:lang w:val="hy-AM"/>
        </w:rPr>
        <w:t>4</w:t>
      </w:r>
      <w:r w:rsidRPr="00491B04">
        <w:rPr>
          <w:rFonts w:ascii="GHEA Grapalat" w:eastAsia="Calibri" w:hAnsi="GHEA Grapalat" w:cs="Sylfaen"/>
          <w:lang w:val="hy-AM"/>
        </w:rPr>
        <w:t xml:space="preserve"> </w:t>
      </w:r>
      <w:r w:rsidRPr="00921AF2">
        <w:rPr>
          <w:rFonts w:ascii="GHEA Grapalat" w:eastAsia="Calibri" w:hAnsi="GHEA Grapalat" w:cs="Sylfaen"/>
          <w:lang w:val="hy-AM"/>
        </w:rPr>
        <w:t>մլրդ դրամ)</w:t>
      </w:r>
      <w:r>
        <w:rPr>
          <w:rFonts w:ascii="GHEA Grapalat" w:eastAsia="Calibri" w:hAnsi="GHEA Grapalat" w:cs="Sylfaen"/>
          <w:lang w:val="hy-AM"/>
        </w:rPr>
        <w:t xml:space="preserve">: </w:t>
      </w:r>
      <w:r w:rsidRPr="009E06C1">
        <w:rPr>
          <w:rFonts w:ascii="GHEA Grapalat" w:eastAsia="Calibri" w:hAnsi="GHEA Grapalat" w:cs="Sylfaen"/>
          <w:lang w:val="hy-AM"/>
        </w:rPr>
        <w:t xml:space="preserve">Գյուղատնտեսության արդիականացման ծրագրում ՀՀ ինտենսիվ այգեգործության զարգացման նպատակով սուբսիդավորումը կազմել է </w:t>
      </w:r>
      <w:r w:rsidRPr="00491B04">
        <w:rPr>
          <w:rFonts w:ascii="GHEA Grapalat" w:eastAsia="Calibri" w:hAnsi="GHEA Grapalat" w:cs="Sylfaen"/>
          <w:lang w:val="hy-AM"/>
        </w:rPr>
        <w:t>10</w:t>
      </w:r>
      <w:r w:rsidRPr="009E06C1">
        <w:rPr>
          <w:rFonts w:ascii="GHEA Grapalat" w:eastAsia="Calibri" w:hAnsi="GHEA Grapalat" w:cs="Sylfaen"/>
          <w:lang w:val="hy-AM"/>
        </w:rPr>
        <w:t xml:space="preserve"> մլրդ </w:t>
      </w:r>
      <w:r>
        <w:rPr>
          <w:rFonts w:ascii="GHEA Grapalat" w:eastAsia="Calibri" w:hAnsi="GHEA Grapalat" w:cs="Sylfaen"/>
          <w:lang w:val="hy-AM"/>
        </w:rPr>
        <w:t>դրամ</w:t>
      </w:r>
      <w:r w:rsidRPr="0079088A">
        <w:rPr>
          <w:rFonts w:ascii="GHEA Grapalat" w:eastAsia="Calibri" w:hAnsi="GHEA Grapalat" w:cs="Sylfaen"/>
          <w:lang w:val="hy-AM"/>
        </w:rPr>
        <w:t xml:space="preserve">: </w:t>
      </w:r>
      <w:r w:rsidRPr="009E06C1">
        <w:rPr>
          <w:rFonts w:ascii="GHEA Grapalat" w:eastAsia="Calibri" w:hAnsi="GHEA Grapalat" w:cs="Sylfaen"/>
          <w:lang w:val="hy-AM"/>
        </w:rPr>
        <w:t xml:space="preserve">ՀՀ ագրոպարենային ոլորտի սարքավորումների լիզինգի աջակցության ծախսերը կազմել են շուրջ </w:t>
      </w:r>
      <w:r w:rsidR="00912A34" w:rsidRPr="00CB2F70">
        <w:rPr>
          <w:rFonts w:ascii="GHEA Grapalat" w:eastAsia="Calibri" w:hAnsi="GHEA Grapalat" w:cs="Sylfaen"/>
          <w:lang w:val="hy-AM"/>
        </w:rPr>
        <w:t>1.1</w:t>
      </w:r>
      <w:r w:rsidR="00912A34" w:rsidRPr="00CB2F70">
        <w:rPr>
          <w:rFonts w:ascii="Calibri" w:eastAsia="Calibri" w:hAnsi="Calibri" w:cs="Calibri"/>
          <w:lang w:val="hy-AM"/>
        </w:rPr>
        <w:t> </w:t>
      </w:r>
      <w:r w:rsidRPr="009E06C1">
        <w:rPr>
          <w:rFonts w:ascii="GHEA Grapalat" w:eastAsia="Calibri" w:hAnsi="GHEA Grapalat" w:cs="Sylfaen"/>
          <w:lang w:val="hy-AM"/>
        </w:rPr>
        <w:t xml:space="preserve">մլրդ դրամ, իսկ ՀՀ խաղողի, ժամանակակից տեխնոլոգիաներով մշակվող ինտենսիվ պտղատու այգիների և հատապտղանոցների հիմնման համար վարկային տոկոսադրույքների սուբսիդավորումը՝ </w:t>
      </w:r>
      <w:r w:rsidRPr="0079088A">
        <w:rPr>
          <w:rFonts w:ascii="GHEA Grapalat" w:eastAsia="Calibri" w:hAnsi="GHEA Grapalat" w:cs="Sylfaen"/>
          <w:lang w:val="hy-AM"/>
        </w:rPr>
        <w:t>0.</w:t>
      </w:r>
      <w:r w:rsidRPr="00491B04">
        <w:rPr>
          <w:rFonts w:ascii="GHEA Grapalat" w:eastAsia="Calibri" w:hAnsi="GHEA Grapalat" w:cs="Sylfaen"/>
          <w:lang w:val="hy-AM"/>
        </w:rPr>
        <w:t>7</w:t>
      </w:r>
      <w:r w:rsidRPr="009E06C1">
        <w:rPr>
          <w:rFonts w:ascii="GHEA Grapalat" w:eastAsia="Calibri" w:hAnsi="GHEA Grapalat" w:cs="Sylfaen"/>
          <w:lang w:val="hy-AM"/>
        </w:rPr>
        <w:t xml:space="preserve"> մլրդ դրամ: Գյուղատնտեսության խթանման ծրագրում գյուղատնտեսական վարկերի տոկոսադրույքների սուբսիդավորումը կազմել է </w:t>
      </w:r>
      <w:r w:rsidR="00A501AE">
        <w:rPr>
          <w:rFonts w:ascii="GHEA Grapalat" w:eastAsia="Calibri" w:hAnsi="GHEA Grapalat" w:cs="Sylfaen"/>
          <w:lang w:val="hy-AM"/>
        </w:rPr>
        <w:t>0.2</w:t>
      </w:r>
      <w:r w:rsidR="00E51B62">
        <w:rPr>
          <w:rFonts w:ascii="Calibri" w:eastAsia="Calibri" w:hAnsi="Calibri" w:cs="Calibri"/>
          <w:lang w:val="hy-AM"/>
        </w:rPr>
        <w:t xml:space="preserve"> </w:t>
      </w:r>
      <w:r>
        <w:rPr>
          <w:rFonts w:ascii="GHEA Grapalat" w:eastAsia="Calibri" w:hAnsi="GHEA Grapalat" w:cs="Sylfaen"/>
          <w:lang w:val="hy-AM"/>
        </w:rPr>
        <w:t xml:space="preserve">մլրդ </w:t>
      </w:r>
      <w:r w:rsidRPr="009E06C1">
        <w:rPr>
          <w:rFonts w:ascii="GHEA Grapalat" w:eastAsia="Calibri" w:hAnsi="GHEA Grapalat" w:cs="Sylfaen"/>
          <w:lang w:val="hy-AM"/>
        </w:rPr>
        <w:t xml:space="preserve">դրամ, գյուղատնտեսական հումքի մթերումների (գնումների) նպատակով տրամադրվող վարկերի տոկոսադրույքների սուբսիդավորումը՝ </w:t>
      </w:r>
      <w:r w:rsidRPr="0079088A">
        <w:rPr>
          <w:rFonts w:ascii="GHEA Grapalat" w:eastAsia="Calibri" w:hAnsi="GHEA Grapalat" w:cs="Sylfaen"/>
          <w:lang w:val="hy-AM"/>
        </w:rPr>
        <w:t>1</w:t>
      </w:r>
      <w:r>
        <w:rPr>
          <w:rFonts w:ascii="GHEA Grapalat" w:eastAsia="Calibri" w:hAnsi="GHEA Grapalat" w:cs="Sylfaen"/>
          <w:lang w:val="hy-AM"/>
        </w:rPr>
        <w:t>.9</w:t>
      </w:r>
      <w:r w:rsidRPr="009E06C1">
        <w:rPr>
          <w:rFonts w:ascii="GHEA Grapalat" w:eastAsia="Calibri" w:hAnsi="GHEA Grapalat" w:cs="Sylfaen"/>
          <w:lang w:val="hy-AM"/>
        </w:rPr>
        <w:t xml:space="preserve"> մլրդ դրամ:</w:t>
      </w:r>
    </w:p>
    <w:p w14:paraId="64B266FA" w14:textId="2B66B3D9" w:rsidR="005C6BE6" w:rsidRDefault="005C6BE6" w:rsidP="005C6BE6">
      <w:pPr>
        <w:spacing w:after="0" w:line="276" w:lineRule="auto"/>
        <w:ind w:firstLine="567"/>
        <w:contextualSpacing/>
        <w:jc w:val="both"/>
        <w:rPr>
          <w:rFonts w:ascii="GHEA Grapalat" w:eastAsia="Calibri" w:hAnsi="GHEA Grapalat" w:cs="Sylfaen"/>
          <w:lang w:val="hy-AM"/>
        </w:rPr>
      </w:pPr>
      <w:r>
        <w:rPr>
          <w:rFonts w:ascii="GHEA Grapalat" w:eastAsia="Calibri" w:hAnsi="GHEA Grapalat" w:cs="Sylfaen"/>
          <w:lang w:val="hy-AM"/>
        </w:rPr>
        <w:t>2026</w:t>
      </w:r>
      <w:r w:rsidRPr="009E06C1">
        <w:rPr>
          <w:rFonts w:ascii="GHEA Grapalat" w:eastAsia="Calibri" w:hAnsi="GHEA Grapalat" w:cs="Sylfaen"/>
          <w:lang w:val="hy-AM"/>
        </w:rPr>
        <w:t xml:space="preserve">թ. </w:t>
      </w:r>
      <w:r>
        <w:rPr>
          <w:rFonts w:ascii="GHEA Grapalat" w:eastAsia="Calibri" w:hAnsi="GHEA Grapalat" w:cs="Sylfaen"/>
          <w:lang w:val="hy-AM"/>
        </w:rPr>
        <w:t xml:space="preserve">առաջին կիսամյակում </w:t>
      </w:r>
      <w:r w:rsidRPr="009E06C1">
        <w:rPr>
          <w:rFonts w:ascii="GHEA Grapalat" w:eastAsia="Calibri" w:hAnsi="GHEA Grapalat" w:cs="Sylfaen"/>
          <w:lang w:val="hy-AM"/>
        </w:rPr>
        <w:t xml:space="preserve">ՀՀ պետական բյուջեից Ղարաբաղից բռնի տեղահանված անձանց պետական աջակցության չափը թիրախային ծրագրերով կազմել է </w:t>
      </w:r>
      <w:r w:rsidR="003753F7">
        <w:rPr>
          <w:rFonts w:ascii="GHEA Grapalat" w:eastAsia="Calibri" w:hAnsi="GHEA Grapalat" w:cs="Sylfaen"/>
          <w:lang w:val="hy-AM"/>
        </w:rPr>
        <w:t>18.3</w:t>
      </w:r>
      <w:r w:rsidRPr="009E06C1">
        <w:rPr>
          <w:rFonts w:ascii="GHEA Grapalat" w:eastAsia="Calibri" w:hAnsi="GHEA Grapalat" w:cs="Sylfaen"/>
          <w:lang w:val="hy-AM"/>
        </w:rPr>
        <w:t xml:space="preserve"> մլրդ դրամ, որում սոցիալական աջակցությունը կազմել է </w:t>
      </w:r>
      <w:r>
        <w:rPr>
          <w:rFonts w:ascii="GHEA Grapalat" w:eastAsia="Calibri" w:hAnsi="GHEA Grapalat" w:cs="Sylfaen"/>
          <w:lang w:val="hy-AM"/>
        </w:rPr>
        <w:t>14</w:t>
      </w:r>
      <w:r w:rsidRPr="0079088A">
        <w:rPr>
          <w:rFonts w:ascii="GHEA Grapalat" w:eastAsia="Calibri" w:hAnsi="GHEA Grapalat" w:cs="Sylfaen"/>
          <w:lang w:val="hy-AM"/>
        </w:rPr>
        <w:t>.6</w:t>
      </w:r>
      <w:r w:rsidRPr="009E06C1">
        <w:rPr>
          <w:rFonts w:ascii="GHEA Grapalat" w:eastAsia="Calibri" w:hAnsi="GHEA Grapalat" w:cs="Sylfaen"/>
          <w:lang w:val="hy-AM"/>
        </w:rPr>
        <w:t xml:space="preserve"> մլրդ դրամ, բնակարանային ապահովման պետական աջակցության գծով տրամադրվել է</w:t>
      </w:r>
      <w:r>
        <w:rPr>
          <w:rFonts w:ascii="GHEA Grapalat" w:eastAsia="Calibri" w:hAnsi="GHEA Grapalat" w:cs="Sylfaen"/>
          <w:lang w:val="hy-AM"/>
        </w:rPr>
        <w:t xml:space="preserve"> 3.1</w:t>
      </w:r>
      <w:r w:rsidRPr="009E06C1">
        <w:rPr>
          <w:rFonts w:ascii="GHEA Grapalat" w:eastAsia="Calibri" w:hAnsi="GHEA Grapalat" w:cs="Sylfaen"/>
          <w:lang w:val="hy-AM"/>
        </w:rPr>
        <w:t xml:space="preserve"> մլրդ դրամ: Ընդ որում, Լեռնային Ղարաբաղից բռնի տեղահանված անձանց ինտեգրման գործընթացում աստիճանաբար թիրախային աջակցության ծրագրերը փոխարինվում են ՀՀ կառավարության սոցիալական աջակցության հիմնական գործիքներով։</w:t>
      </w:r>
    </w:p>
    <w:p w14:paraId="2B257DC2" w14:textId="4336376F" w:rsidR="005C6BE6" w:rsidRDefault="005C6BE6" w:rsidP="005C6BE6">
      <w:pPr>
        <w:spacing w:after="0" w:line="276" w:lineRule="auto"/>
        <w:ind w:firstLine="567"/>
        <w:contextualSpacing/>
        <w:jc w:val="both"/>
        <w:rPr>
          <w:rFonts w:ascii="GHEA Grapalat" w:hAnsi="GHEA Grapalat" w:cs="GHEA Grapalat"/>
          <w:lang w:val="hy-AM"/>
        </w:rPr>
      </w:pPr>
      <w:r w:rsidRPr="00921AF2">
        <w:rPr>
          <w:rFonts w:ascii="GHEA Grapalat" w:hAnsi="GHEA Grapalat" w:cs="GHEA Grapalat"/>
          <w:b/>
          <w:i/>
          <w:lang w:val="hy-AM"/>
        </w:rPr>
        <w:t>Պետական բյուջեի հաշվեկշիռը:</w:t>
      </w:r>
      <w:r w:rsidRPr="00921AF2">
        <w:rPr>
          <w:rFonts w:ascii="GHEA Grapalat" w:hAnsi="GHEA Grapalat" w:cs="GHEA Grapalat"/>
          <w:lang w:val="hy-AM"/>
        </w:rPr>
        <w:t xml:space="preserve"> Վերոնշյալ զարգացումների արդյունքում պետական բյուջեն եղել է </w:t>
      </w:r>
      <w:r>
        <w:rPr>
          <w:rFonts w:ascii="GHEA Grapalat" w:hAnsi="GHEA Grapalat" w:cs="GHEA Grapalat"/>
          <w:lang w:val="hy-AM"/>
        </w:rPr>
        <w:t>հավելուրդային</w:t>
      </w:r>
      <w:r w:rsidRPr="00921AF2">
        <w:rPr>
          <w:rFonts w:ascii="GHEA Grapalat" w:hAnsi="GHEA Grapalat" w:cs="GHEA Grapalat"/>
          <w:lang w:val="hy-AM"/>
        </w:rPr>
        <w:t>: 202</w:t>
      </w:r>
      <w:r>
        <w:rPr>
          <w:rFonts w:ascii="GHEA Grapalat" w:hAnsi="GHEA Grapalat" w:cs="GHEA Grapalat"/>
          <w:lang w:val="hy-AM"/>
        </w:rPr>
        <w:t>6թ.</w:t>
      </w:r>
      <w:r w:rsidRPr="00921AF2">
        <w:rPr>
          <w:rFonts w:ascii="GHEA Grapalat" w:hAnsi="GHEA Grapalat" w:cs="GHEA Grapalat"/>
          <w:lang w:val="hy-AM"/>
        </w:rPr>
        <w:t xml:space="preserve"> </w:t>
      </w:r>
      <w:r>
        <w:rPr>
          <w:rFonts w:ascii="GHEA Grapalat" w:hAnsi="GHEA Grapalat" w:cs="GHEA Grapalat"/>
          <w:lang w:val="hy-AM"/>
        </w:rPr>
        <w:t>առաջին կիսամյակում</w:t>
      </w:r>
      <w:r w:rsidRPr="00921AF2">
        <w:rPr>
          <w:rFonts w:ascii="GHEA Grapalat" w:hAnsi="GHEA Grapalat" w:cs="GHEA Grapalat"/>
          <w:lang w:val="hy-AM"/>
        </w:rPr>
        <w:t xml:space="preserve"> ձևավորվել է պետական բյուջեի </w:t>
      </w:r>
      <w:r>
        <w:rPr>
          <w:rFonts w:ascii="GHEA Grapalat" w:hAnsi="GHEA Grapalat" w:cs="GHEA Grapalat"/>
          <w:lang w:val="hy-AM"/>
        </w:rPr>
        <w:t>67.3</w:t>
      </w:r>
      <w:r w:rsidRPr="00921AF2">
        <w:rPr>
          <w:rFonts w:ascii="GHEA Grapalat" w:hAnsi="GHEA Grapalat" w:cs="GHEA Grapalat"/>
          <w:lang w:val="hy-AM"/>
        </w:rPr>
        <w:t xml:space="preserve"> մլրդ դրամի </w:t>
      </w:r>
      <w:r>
        <w:rPr>
          <w:rFonts w:ascii="GHEA Grapalat" w:hAnsi="GHEA Grapalat" w:cs="GHEA Grapalat"/>
          <w:lang w:val="hy-AM"/>
        </w:rPr>
        <w:t>հավելուրդ</w:t>
      </w:r>
      <w:r w:rsidRPr="00921AF2">
        <w:rPr>
          <w:rFonts w:ascii="GHEA Grapalat" w:hAnsi="GHEA Grapalat" w:cs="GHEA Grapalat"/>
          <w:lang w:val="hy-AM"/>
        </w:rPr>
        <w:t xml:space="preserve">՝ նախորդ տարվա նույն ժամանակահատվածում ձևավորված </w:t>
      </w:r>
      <w:r>
        <w:rPr>
          <w:rFonts w:ascii="GHEA Grapalat" w:hAnsi="GHEA Grapalat" w:cs="GHEA Grapalat"/>
          <w:lang w:val="hy-AM"/>
        </w:rPr>
        <w:t xml:space="preserve">39.2 </w:t>
      </w:r>
      <w:r w:rsidRPr="00921AF2">
        <w:rPr>
          <w:rFonts w:ascii="GHEA Grapalat" w:hAnsi="GHEA Grapalat" w:cs="GHEA Grapalat"/>
          <w:lang w:val="hy-AM"/>
        </w:rPr>
        <w:t xml:space="preserve">մլրդ դրամ </w:t>
      </w:r>
      <w:r>
        <w:rPr>
          <w:rFonts w:ascii="GHEA Grapalat" w:hAnsi="GHEA Grapalat" w:cs="GHEA Grapalat"/>
          <w:lang w:val="hy-AM"/>
        </w:rPr>
        <w:t>պակասուրդի դիմաց</w:t>
      </w:r>
      <w:r w:rsidRPr="00921AF2">
        <w:rPr>
          <w:rFonts w:ascii="GHEA Grapalat" w:hAnsi="GHEA Grapalat" w:cs="GHEA Grapalat"/>
          <w:lang w:val="hy-AM"/>
        </w:rPr>
        <w:t>:</w:t>
      </w:r>
    </w:p>
    <w:p w14:paraId="4AD47DA8" w14:textId="104B90A6" w:rsidR="007A5B01" w:rsidRDefault="003D07CB">
      <w:pPr>
        <w:spacing w:after="0" w:line="276" w:lineRule="auto"/>
        <w:ind w:firstLine="567"/>
        <w:jc w:val="both"/>
        <w:rPr>
          <w:rFonts w:ascii="GHEA Grapalat" w:hAnsi="GHEA Grapalat" w:cs="GHEA Grapalat"/>
          <w:lang w:val="hy-AM"/>
        </w:rPr>
      </w:pPr>
      <w:r w:rsidRPr="006B3656">
        <w:rPr>
          <w:rFonts w:ascii="GHEA Grapalat" w:hAnsi="GHEA Grapalat" w:cs="GHEA Grapalat"/>
          <w:b/>
          <w:i/>
          <w:lang w:val="hy-AM"/>
        </w:rPr>
        <w:t>Հարկաբյուջետային ազդակը:</w:t>
      </w:r>
      <w:r>
        <w:rPr>
          <w:rFonts w:ascii="GHEA Grapalat" w:hAnsi="GHEA Grapalat" w:cs="GHEA Grapalat"/>
          <w:lang w:val="hy-AM"/>
        </w:rPr>
        <w:t xml:space="preserve"> </w:t>
      </w:r>
      <w:r w:rsidR="007A5B01">
        <w:rPr>
          <w:rFonts w:ascii="GHEA Grapalat" w:hAnsi="GHEA Grapalat" w:cs="GHEA Grapalat"/>
          <w:lang w:val="hy-AM"/>
        </w:rPr>
        <w:t>2026</w:t>
      </w:r>
      <w:r w:rsidR="007A5B01" w:rsidRPr="006B3656">
        <w:rPr>
          <w:rFonts w:ascii="GHEA Grapalat" w:hAnsi="GHEA Grapalat" w:cs="GHEA Grapalat"/>
          <w:lang w:val="hy-AM"/>
        </w:rPr>
        <w:t>թ</w:t>
      </w:r>
      <w:r w:rsidR="007A5B01">
        <w:rPr>
          <w:rFonts w:ascii="GHEA Grapalat" w:hAnsi="GHEA Grapalat" w:cs="GHEA Grapalat"/>
          <w:lang w:val="hy-AM"/>
        </w:rPr>
        <w:t>.</w:t>
      </w:r>
      <w:r w:rsidR="007A5B01" w:rsidRPr="006B3656">
        <w:rPr>
          <w:rFonts w:ascii="GHEA Grapalat" w:hAnsi="GHEA Grapalat" w:cs="GHEA Grapalat"/>
          <w:lang w:val="hy-AM"/>
        </w:rPr>
        <w:t xml:space="preserve"> </w:t>
      </w:r>
      <w:r w:rsidR="007A5B01">
        <w:rPr>
          <w:rFonts w:ascii="GHEA Grapalat" w:hAnsi="GHEA Grapalat" w:cs="GHEA Grapalat"/>
          <w:lang w:val="hy-AM"/>
        </w:rPr>
        <w:t xml:space="preserve">առաջին կիսամյակում նախորդ տարվա նույն ժամանակահատվածի նկատմամբ պետական բյուջեի հաշվեկշռի </w:t>
      </w:r>
      <w:r w:rsidR="007A5B01" w:rsidRPr="0079088A">
        <w:rPr>
          <w:rFonts w:ascii="GHEA Grapalat" w:hAnsi="GHEA Grapalat" w:cs="GHEA Grapalat"/>
          <w:lang w:val="hy-AM"/>
        </w:rPr>
        <w:t>(</w:t>
      </w:r>
      <w:r w:rsidR="007A5B01">
        <w:rPr>
          <w:rFonts w:ascii="GHEA Grapalat" w:hAnsi="GHEA Grapalat" w:cs="GHEA Grapalat"/>
          <w:lang w:val="hy-AM"/>
        </w:rPr>
        <w:t>հավելուրդի</w:t>
      </w:r>
      <w:r w:rsidR="007A5B01" w:rsidRPr="0079088A">
        <w:rPr>
          <w:rFonts w:ascii="GHEA Grapalat" w:hAnsi="GHEA Grapalat" w:cs="GHEA Grapalat"/>
          <w:lang w:val="hy-AM"/>
        </w:rPr>
        <w:t>)</w:t>
      </w:r>
      <w:r w:rsidR="007A5B01">
        <w:rPr>
          <w:rFonts w:ascii="GHEA Grapalat" w:hAnsi="GHEA Grapalat" w:cs="GHEA Grapalat"/>
          <w:lang w:val="hy-AM"/>
        </w:rPr>
        <w:t xml:space="preserve"> աճի պայմաններում</w:t>
      </w:r>
      <w:r w:rsidR="007A5B01" w:rsidRPr="006B3656">
        <w:rPr>
          <w:rFonts w:ascii="GHEA Grapalat" w:hAnsi="GHEA Grapalat" w:cs="GHEA Grapalat"/>
          <w:lang w:val="hy-AM"/>
        </w:rPr>
        <w:t xml:space="preserve"> </w:t>
      </w:r>
      <w:r w:rsidR="007A5B01">
        <w:rPr>
          <w:rFonts w:ascii="GHEA Grapalat" w:hAnsi="GHEA Grapalat" w:cs="GHEA Grapalat"/>
          <w:lang w:val="hy-AM"/>
        </w:rPr>
        <w:t>հարկաբյուջետային քաղաքականության ազդեցություն</w:t>
      </w:r>
      <w:r w:rsidR="00F66F52">
        <w:rPr>
          <w:rFonts w:ascii="GHEA Grapalat" w:hAnsi="GHEA Grapalat" w:cs="GHEA Grapalat"/>
          <w:lang w:val="hy-AM"/>
        </w:rPr>
        <w:t>ն</w:t>
      </w:r>
      <w:r w:rsidR="007A5B01">
        <w:rPr>
          <w:rFonts w:ascii="GHEA Grapalat" w:hAnsi="GHEA Grapalat" w:cs="GHEA Grapalat"/>
          <w:lang w:val="hy-AM"/>
        </w:rPr>
        <w:t xml:space="preserve"> ամբողջական պահանջարկի վրա գնահատվում է թույլ խթանող՝ չեզոքին մոտ</w:t>
      </w:r>
      <w:r w:rsidR="00A501AE">
        <w:rPr>
          <w:rFonts w:ascii="GHEA Grapalat" w:hAnsi="GHEA Grapalat" w:cs="GHEA Grapalat"/>
          <w:lang w:val="hy-AM"/>
        </w:rPr>
        <w:t>:</w:t>
      </w:r>
    </w:p>
    <w:p w14:paraId="54E585F9" w14:textId="08532167" w:rsidR="007A5B01" w:rsidRPr="006B3656" w:rsidRDefault="007A5B01" w:rsidP="007A5B01">
      <w:pPr>
        <w:spacing w:after="0" w:line="276" w:lineRule="auto"/>
        <w:ind w:firstLine="567"/>
        <w:jc w:val="both"/>
        <w:rPr>
          <w:rFonts w:ascii="GHEA Grapalat" w:hAnsi="GHEA Grapalat" w:cs="GHEA Grapalat"/>
          <w:lang w:val="hy-AM"/>
        </w:rPr>
      </w:pPr>
      <w:r w:rsidRPr="006B3656">
        <w:rPr>
          <w:rFonts w:ascii="GHEA Grapalat" w:hAnsi="GHEA Grapalat" w:cs="GHEA Grapalat"/>
          <w:lang w:val="hy-AM"/>
        </w:rPr>
        <w:t>Համախառն պահանջարկի վրա հարկաբյուջետային քաղաքականությունը</w:t>
      </w:r>
      <w:r>
        <w:rPr>
          <w:rFonts w:ascii="GHEA Grapalat" w:hAnsi="GHEA Grapalat" w:cs="GHEA Grapalat"/>
          <w:lang w:val="hy-AM"/>
        </w:rPr>
        <w:t>՝ մնալով 2026թ. բյուջեով ծրագրված հիմնականում չեզոք ուղղության շրջանակներում, 2026</w:t>
      </w:r>
      <w:r w:rsidRPr="006B3656">
        <w:rPr>
          <w:rFonts w:ascii="GHEA Grapalat" w:hAnsi="GHEA Grapalat" w:cs="GHEA Grapalat"/>
          <w:lang w:val="hy-AM"/>
        </w:rPr>
        <w:t>թ</w:t>
      </w:r>
      <w:r>
        <w:rPr>
          <w:rFonts w:ascii="GHEA Grapalat" w:hAnsi="GHEA Grapalat" w:cs="GHEA Grapalat"/>
          <w:lang w:val="hy-AM"/>
        </w:rPr>
        <w:t>.</w:t>
      </w:r>
      <w:r w:rsidRPr="006B3656">
        <w:rPr>
          <w:rFonts w:ascii="GHEA Grapalat" w:hAnsi="GHEA Grapalat" w:cs="GHEA Grapalat"/>
          <w:lang w:val="hy-AM"/>
        </w:rPr>
        <w:t xml:space="preserve"> </w:t>
      </w:r>
      <w:r>
        <w:rPr>
          <w:rFonts w:ascii="GHEA Grapalat" w:hAnsi="GHEA Grapalat" w:cs="GHEA Grapalat"/>
          <w:lang w:val="hy-AM"/>
        </w:rPr>
        <w:t xml:space="preserve">առաջին </w:t>
      </w:r>
      <w:r w:rsidR="00F66F52">
        <w:rPr>
          <w:rFonts w:ascii="GHEA Grapalat" w:hAnsi="GHEA Grapalat" w:cs="GHEA Grapalat"/>
          <w:lang w:val="hy-AM"/>
        </w:rPr>
        <w:t xml:space="preserve">կիսամյակում </w:t>
      </w:r>
      <w:r w:rsidRPr="006B3656">
        <w:rPr>
          <w:rFonts w:ascii="GHEA Grapalat" w:hAnsi="GHEA Grapalat" w:cs="GHEA Grapalat"/>
          <w:lang w:val="hy-AM"/>
        </w:rPr>
        <w:t xml:space="preserve">նախորդ տարվա նույն ժամանակահատվածի նկատմամբ ունեցել է </w:t>
      </w:r>
      <w:r>
        <w:rPr>
          <w:rFonts w:ascii="GHEA Grapalat" w:hAnsi="GHEA Grapalat" w:cs="GHEA Grapalat"/>
          <w:lang w:val="hy-AM"/>
        </w:rPr>
        <w:t>0</w:t>
      </w:r>
      <w:r w:rsidRPr="00BD5562">
        <w:rPr>
          <w:rFonts w:ascii="GHEA Grapalat" w:hAnsi="GHEA Grapalat" w:cs="GHEA Grapalat"/>
          <w:lang w:val="hy-AM"/>
        </w:rPr>
        <w:t>.</w:t>
      </w:r>
      <w:r>
        <w:rPr>
          <w:rFonts w:ascii="GHEA Grapalat" w:hAnsi="GHEA Grapalat" w:cs="GHEA Grapalat"/>
          <w:lang w:val="hy-AM"/>
        </w:rPr>
        <w:t>4 թույլ խթանող</w:t>
      </w:r>
      <w:r w:rsidRPr="0079088A">
        <w:rPr>
          <w:rFonts w:ascii="GHEA Grapalat" w:hAnsi="GHEA Grapalat" w:cs="GHEA Grapalat"/>
          <w:lang w:val="hy-AM"/>
        </w:rPr>
        <w:t xml:space="preserve"> </w:t>
      </w:r>
      <w:r w:rsidRPr="006B3656">
        <w:rPr>
          <w:rFonts w:ascii="GHEA Grapalat" w:hAnsi="GHEA Grapalat" w:cs="GHEA Grapalat"/>
          <w:lang w:val="hy-AM"/>
        </w:rPr>
        <w:t>ազդեցություն` պայմանավորված եկամուտների</w:t>
      </w:r>
      <w:r w:rsidR="00A501AE">
        <w:rPr>
          <w:rFonts w:ascii="GHEA Grapalat" w:hAnsi="GHEA Grapalat" w:cs="GHEA Grapalat"/>
          <w:lang w:val="hy-AM"/>
        </w:rPr>
        <w:t xml:space="preserve"> </w:t>
      </w:r>
      <w:r w:rsidRPr="008C21EF">
        <w:rPr>
          <w:rFonts w:ascii="GHEA Grapalat" w:hAnsi="GHEA Grapalat" w:cs="GHEA Grapalat"/>
          <w:lang w:val="hy-AM"/>
        </w:rPr>
        <w:t>-</w:t>
      </w:r>
      <w:r>
        <w:rPr>
          <w:rFonts w:ascii="GHEA Grapalat" w:hAnsi="GHEA Grapalat" w:cs="GHEA Grapalat"/>
          <w:lang w:val="hy-AM"/>
        </w:rPr>
        <w:t>0.9 զսպող</w:t>
      </w:r>
      <w:r w:rsidRPr="006B3656">
        <w:rPr>
          <w:rFonts w:ascii="GHEA Grapalat" w:hAnsi="GHEA Grapalat" w:cs="GHEA Grapalat"/>
          <w:lang w:val="hy-AM"/>
        </w:rPr>
        <w:t xml:space="preserve"> և ծախսերի</w:t>
      </w:r>
      <w:r>
        <w:rPr>
          <w:rFonts w:ascii="GHEA Grapalat" w:hAnsi="GHEA Grapalat" w:cs="GHEA Grapalat"/>
          <w:lang w:val="hy-AM"/>
        </w:rPr>
        <w:t xml:space="preserve"> +</w:t>
      </w:r>
      <w:r w:rsidRPr="00BD5562">
        <w:rPr>
          <w:rFonts w:ascii="GHEA Grapalat" w:hAnsi="GHEA Grapalat" w:cs="GHEA Grapalat"/>
          <w:lang w:val="hy-AM"/>
        </w:rPr>
        <w:t>1.4</w:t>
      </w:r>
      <w:r w:rsidRPr="006B3656">
        <w:rPr>
          <w:rFonts w:ascii="GHEA Grapalat" w:hAnsi="GHEA Grapalat" w:cs="GHEA Grapalat"/>
          <w:lang w:val="hy-AM"/>
        </w:rPr>
        <w:t xml:space="preserve"> չափի </w:t>
      </w:r>
      <w:r>
        <w:rPr>
          <w:rFonts w:ascii="GHEA Grapalat" w:hAnsi="GHEA Grapalat" w:cs="GHEA Grapalat"/>
          <w:lang w:val="hy-AM"/>
        </w:rPr>
        <w:t>խթանող</w:t>
      </w:r>
      <w:r w:rsidRPr="006B3656">
        <w:rPr>
          <w:rFonts w:ascii="GHEA Grapalat" w:hAnsi="GHEA Grapalat" w:cs="GHEA Grapalat"/>
          <w:lang w:val="hy-AM"/>
        </w:rPr>
        <w:t xml:space="preserve"> ազդեցություններով։</w:t>
      </w:r>
    </w:p>
    <w:p w14:paraId="21D10828" w14:textId="59375143" w:rsidR="003D07CB" w:rsidRPr="006B3656" w:rsidRDefault="007A5B01" w:rsidP="00BD5562">
      <w:pPr>
        <w:spacing w:line="276" w:lineRule="auto"/>
        <w:ind w:firstLine="567"/>
        <w:jc w:val="both"/>
        <w:rPr>
          <w:rFonts w:ascii="GHEA Grapalat" w:hAnsi="GHEA Grapalat" w:cs="GHEA Grapalat"/>
          <w:lang w:val="hy-AM"/>
        </w:rPr>
      </w:pPr>
      <w:r w:rsidRPr="00291477">
        <w:rPr>
          <w:rFonts w:ascii="GHEA Grapalat" w:hAnsi="GHEA Grapalat" w:cs="GHEA Grapalat"/>
          <w:lang w:val="hy-AM"/>
        </w:rPr>
        <w:lastRenderedPageBreak/>
        <w:t>Համախառն պահանջարկի վրա եկամուտների զսպող ազդակը պայմանավորված է</w:t>
      </w:r>
      <w:r w:rsidRPr="0079088A">
        <w:rPr>
          <w:lang w:val="hy-AM"/>
        </w:rPr>
        <w:t xml:space="preserve"> </w:t>
      </w:r>
      <w:r w:rsidRPr="007E25B3">
        <w:rPr>
          <w:rFonts w:ascii="GHEA Grapalat" w:hAnsi="GHEA Grapalat" w:cs="GHEA Grapalat"/>
          <w:lang w:val="hy-AM"/>
        </w:rPr>
        <w:t xml:space="preserve">անվանական </w:t>
      </w:r>
      <w:r w:rsidRPr="00445910">
        <w:rPr>
          <w:rFonts w:ascii="GHEA Grapalat" w:hAnsi="GHEA Grapalat" w:cs="GHEA Grapalat"/>
          <w:lang w:val="hy-AM"/>
        </w:rPr>
        <w:t>տնտեսական ակտիվության</w:t>
      </w:r>
      <w:r>
        <w:rPr>
          <w:rFonts w:ascii="GHEA Grapalat" w:hAnsi="GHEA Grapalat" w:cs="GHEA Grapalat"/>
          <w:lang w:val="hy-AM"/>
        </w:rPr>
        <w:t xml:space="preserve"> աճի</w:t>
      </w:r>
      <w:r w:rsidRPr="00445910">
        <w:rPr>
          <w:rFonts w:ascii="GHEA Grapalat" w:hAnsi="GHEA Grapalat" w:cs="GHEA Grapalat"/>
          <w:lang w:val="hy-AM"/>
        </w:rPr>
        <w:t xml:space="preserve"> տեմպերով ակնկալվող հարկման բազա</w:t>
      </w:r>
      <w:r>
        <w:rPr>
          <w:rFonts w:ascii="GHEA Grapalat" w:hAnsi="GHEA Grapalat" w:cs="GHEA Grapalat"/>
          <w:lang w:val="hy-AM"/>
        </w:rPr>
        <w:t>յ</w:t>
      </w:r>
      <w:r w:rsidRPr="00445910">
        <w:rPr>
          <w:rFonts w:ascii="GHEA Grapalat" w:hAnsi="GHEA Grapalat" w:cs="GHEA Grapalat"/>
          <w:lang w:val="hy-AM"/>
        </w:rPr>
        <w:t xml:space="preserve">ի </w:t>
      </w:r>
      <w:r>
        <w:rPr>
          <w:rFonts w:ascii="GHEA Grapalat" w:hAnsi="GHEA Grapalat" w:cs="GHEA Grapalat"/>
          <w:lang w:val="hy-AM"/>
        </w:rPr>
        <w:t>աճ</w:t>
      </w:r>
      <w:r w:rsidR="00A501AE" w:rsidRPr="00CB2F70">
        <w:rPr>
          <w:rFonts w:ascii="GHEA Grapalat" w:hAnsi="GHEA Grapalat" w:cs="GHEA Grapalat"/>
          <w:lang w:val="hy-AM"/>
        </w:rPr>
        <w:t>ը</w:t>
      </w:r>
      <w:r>
        <w:rPr>
          <w:rFonts w:ascii="GHEA Grapalat" w:hAnsi="GHEA Grapalat" w:cs="GHEA Grapalat"/>
          <w:lang w:val="hy-AM"/>
        </w:rPr>
        <w:t xml:space="preserve"> գերազանցող հարկային եկամուտների աճով։</w:t>
      </w:r>
      <w:r w:rsidRPr="00291477">
        <w:rPr>
          <w:rFonts w:ascii="GHEA Grapalat" w:hAnsi="GHEA Grapalat" w:cs="GHEA Grapalat"/>
          <w:lang w:val="hy-AM"/>
        </w:rPr>
        <w:t xml:space="preserve"> </w:t>
      </w:r>
      <w:r>
        <w:rPr>
          <w:rFonts w:ascii="GHEA Grapalat" w:hAnsi="GHEA Grapalat" w:cs="GHEA Grapalat"/>
          <w:lang w:val="hy-AM"/>
        </w:rPr>
        <w:t>Վերջինս հիմնականում պայմանավորված է ավելացված արժեքի հարկի, եկամտային հարկի, շահութահարկի, բնապահպանական և բնօգտագործման վճարների</w:t>
      </w:r>
      <w:r w:rsidRPr="00BF13CE">
        <w:rPr>
          <w:rFonts w:ascii="GHEA Grapalat" w:hAnsi="GHEA Grapalat" w:cs="GHEA Grapalat"/>
          <w:lang w:val="hy-AM"/>
        </w:rPr>
        <w:t xml:space="preserve"> </w:t>
      </w:r>
      <w:r>
        <w:rPr>
          <w:rFonts w:ascii="GHEA Grapalat" w:hAnsi="GHEA Grapalat" w:cs="GHEA Grapalat"/>
          <w:lang w:val="hy-AM"/>
        </w:rPr>
        <w:t>բարձր աճերով, ինչպես նաև հարկային վարչարարության արդյունավետության բարձրացմամբ</w:t>
      </w:r>
      <w:r w:rsidRPr="00291477">
        <w:rPr>
          <w:rFonts w:ascii="GHEA Grapalat" w:hAnsi="GHEA Grapalat" w:cs="GHEA Grapalat"/>
          <w:lang w:val="hy-AM"/>
        </w:rPr>
        <w:t>, և չի ենթադրում հարկաբյուջետային քաղաքականության ծրագրված ուղղությունից տարբերվող հարկային որոշումների ներգործություն։</w:t>
      </w:r>
      <w:r w:rsidRPr="0079088A">
        <w:rPr>
          <w:rFonts w:ascii="GHEA Grapalat" w:hAnsi="GHEA Grapalat" w:cs="GHEA Grapalat"/>
          <w:lang w:val="hy-AM"/>
        </w:rPr>
        <w:t xml:space="preserve"> </w:t>
      </w:r>
      <w:r w:rsidR="00030C63">
        <w:rPr>
          <w:rFonts w:ascii="GHEA Grapalat" w:hAnsi="GHEA Grapalat" w:cs="GHEA Grapalat"/>
        </w:rPr>
        <w:t>Մինչդեռ</w:t>
      </w:r>
      <w:r w:rsidRPr="006B3656">
        <w:rPr>
          <w:rFonts w:ascii="GHEA Grapalat" w:hAnsi="GHEA Grapalat" w:cs="GHEA Grapalat"/>
          <w:lang w:val="hy-AM"/>
        </w:rPr>
        <w:t xml:space="preserve"> հարկաբյուջետային քաղաքականությունը տնտեսական պարբ</w:t>
      </w:r>
      <w:r>
        <w:rPr>
          <w:rFonts w:ascii="GHEA Grapalat" w:hAnsi="GHEA Grapalat" w:cs="GHEA Grapalat"/>
          <w:lang w:val="hy-AM"/>
        </w:rPr>
        <w:t>ե</w:t>
      </w:r>
      <w:r w:rsidRPr="006B3656">
        <w:rPr>
          <w:rFonts w:ascii="GHEA Grapalat" w:hAnsi="GHEA Grapalat" w:cs="GHEA Grapalat"/>
          <w:lang w:val="hy-AM"/>
        </w:rPr>
        <w:t xml:space="preserve">րաշրջանին արձագանքելու տեսակետից համահունչ է մնացել թիրախավորված ուղղությանը։ </w:t>
      </w:r>
      <w:r>
        <w:rPr>
          <w:rFonts w:ascii="GHEA Grapalat" w:hAnsi="GHEA Grapalat" w:cs="GHEA Grapalat"/>
          <w:lang w:val="hy-AM"/>
        </w:rPr>
        <w:t xml:space="preserve">Ինչ վերաբերում է ծախսային խթանող ազդեցությանը, վերոհիշյալը </w:t>
      </w:r>
      <w:r w:rsidR="00867163">
        <w:rPr>
          <w:rFonts w:ascii="GHEA Grapalat" w:hAnsi="GHEA Grapalat" w:cs="GHEA Grapalat"/>
          <w:lang w:val="hy-AM"/>
        </w:rPr>
        <w:t xml:space="preserve">մեծ </w:t>
      </w:r>
      <w:r>
        <w:rPr>
          <w:rFonts w:ascii="GHEA Grapalat" w:hAnsi="GHEA Grapalat" w:cs="GHEA Grapalat"/>
          <w:lang w:val="hy-AM"/>
        </w:rPr>
        <w:t xml:space="preserve">մասամբ պայմանավորված է </w:t>
      </w:r>
      <w:r w:rsidRPr="007A5B01">
        <w:rPr>
          <w:rFonts w:ascii="GHEA Grapalat" w:hAnsi="GHEA Grapalat" w:cs="GHEA Grapalat"/>
          <w:lang w:val="hy-AM"/>
        </w:rPr>
        <w:t xml:space="preserve">տնտեսական ծրագրերին ուղղված կապիտալ ծախսերի դերի </w:t>
      </w:r>
      <w:r>
        <w:rPr>
          <w:rFonts w:ascii="GHEA Grapalat" w:hAnsi="GHEA Grapalat" w:cs="GHEA Grapalat"/>
          <w:lang w:val="hy-AM"/>
        </w:rPr>
        <w:t>ավելացմամբ</w:t>
      </w:r>
      <w:r w:rsidRPr="007A5B01">
        <w:rPr>
          <w:rFonts w:ascii="GHEA Grapalat" w:hAnsi="GHEA Grapalat" w:cs="GHEA Grapalat"/>
          <w:lang w:val="hy-AM"/>
        </w:rPr>
        <w:t>, ինչպես նաև ընթացիկ ծախ</w:t>
      </w:r>
      <w:r w:rsidR="00867163" w:rsidRPr="00CB2F70">
        <w:rPr>
          <w:rFonts w:ascii="GHEA Grapalat" w:hAnsi="GHEA Grapalat" w:cs="GHEA Grapalat"/>
          <w:lang w:val="hy-AM"/>
        </w:rPr>
        <w:t>ս</w:t>
      </w:r>
      <w:r w:rsidRPr="007A5B01">
        <w:rPr>
          <w:rFonts w:ascii="GHEA Grapalat" w:hAnsi="GHEA Grapalat" w:cs="GHEA Grapalat"/>
          <w:lang w:val="hy-AM"/>
        </w:rPr>
        <w:t>երի աճի միտումներով</w:t>
      </w:r>
      <w:r>
        <w:rPr>
          <w:rFonts w:ascii="GHEA Grapalat" w:hAnsi="GHEA Grapalat" w:cs="GHEA Grapalat"/>
          <w:lang w:val="hy-AM"/>
        </w:rPr>
        <w:t>:</w:t>
      </w:r>
    </w:p>
    <w:tbl>
      <w:tblPr>
        <w:tblStyle w:val="TableGrid211"/>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6"/>
        <w:gridCol w:w="5076"/>
      </w:tblGrid>
      <w:tr w:rsidR="00090DAD" w:rsidRPr="00CB2F70" w14:paraId="6F2E1D90" w14:textId="77777777" w:rsidTr="00CA2C6F">
        <w:tc>
          <w:tcPr>
            <w:tcW w:w="5226" w:type="dxa"/>
          </w:tcPr>
          <w:p w14:paraId="6B329C07" w14:textId="40DE71F5" w:rsidR="00090DAD" w:rsidRPr="00CF2321" w:rsidRDefault="00090DAD" w:rsidP="00CA2C6F">
            <w:pPr>
              <w:keepNext/>
              <w:keepLines/>
              <w:numPr>
                <w:ilvl w:val="0"/>
                <w:numId w:val="1"/>
              </w:numPr>
              <w:tabs>
                <w:tab w:val="left" w:pos="0"/>
                <w:tab w:val="left" w:pos="284"/>
                <w:tab w:val="left" w:pos="1029"/>
                <w:tab w:val="left" w:pos="1276"/>
              </w:tabs>
              <w:autoSpaceDE w:val="0"/>
              <w:autoSpaceDN w:val="0"/>
              <w:adjustRightInd w:val="0"/>
              <w:spacing w:line="276" w:lineRule="auto"/>
              <w:ind w:left="0" w:firstLine="0"/>
              <w:contextualSpacing/>
              <w:rPr>
                <w:rFonts w:ascii="GHEA Grapalat" w:eastAsia="GHEA Grapalat" w:hAnsi="GHEA Grapalat" w:cs="GHEA Grapalat"/>
                <w:b/>
                <w:sz w:val="18"/>
                <w:szCs w:val="18"/>
                <w:lang w:val="hy-AM"/>
              </w:rPr>
            </w:pPr>
            <w:r w:rsidRPr="00CF2321">
              <w:rPr>
                <w:rFonts w:ascii="GHEA Grapalat" w:hAnsi="GHEA Grapalat" w:cs="Sylfaen"/>
                <w:b/>
                <w:sz w:val="18"/>
                <w:szCs w:val="18"/>
                <w:lang w:val="hy-AM"/>
              </w:rPr>
              <w:t>Հարկաբյուջետային ազդակը</w:t>
            </w:r>
            <w:r>
              <w:rPr>
                <w:rFonts w:ascii="GHEA Grapalat" w:hAnsi="GHEA Grapalat" w:cs="Sylfaen"/>
                <w:b/>
                <w:sz w:val="18"/>
                <w:szCs w:val="18"/>
              </w:rPr>
              <w:t xml:space="preserve"> </w:t>
            </w:r>
            <w:r w:rsidRPr="00CF2321">
              <w:rPr>
                <w:rFonts w:ascii="GHEA Grapalat" w:hAnsi="GHEA Grapalat" w:cs="Sylfaen"/>
                <w:b/>
                <w:sz w:val="18"/>
                <w:szCs w:val="18"/>
                <w:lang w:val="hy-AM"/>
              </w:rPr>
              <w:t>202</w:t>
            </w:r>
            <w:r w:rsidR="00647E1C">
              <w:rPr>
                <w:rFonts w:ascii="GHEA Grapalat" w:hAnsi="GHEA Grapalat" w:cs="Sylfaen"/>
                <w:b/>
                <w:sz w:val="18"/>
                <w:szCs w:val="18"/>
              </w:rPr>
              <w:t>2</w:t>
            </w:r>
            <w:r>
              <w:rPr>
                <w:rFonts w:ascii="GHEA Grapalat" w:hAnsi="GHEA Grapalat" w:cs="Sylfaen"/>
                <w:b/>
                <w:sz w:val="18"/>
                <w:szCs w:val="18"/>
              </w:rPr>
              <w:t>-</w:t>
            </w:r>
            <w:r w:rsidRPr="00CF2321">
              <w:rPr>
                <w:rFonts w:ascii="GHEA Grapalat" w:hAnsi="GHEA Grapalat" w:cs="Sylfaen"/>
                <w:b/>
                <w:sz w:val="18"/>
                <w:szCs w:val="18"/>
                <w:lang w:val="hy-AM"/>
              </w:rPr>
              <w:t>202</w:t>
            </w:r>
            <w:r w:rsidR="00647E1C">
              <w:rPr>
                <w:rFonts w:ascii="GHEA Grapalat" w:hAnsi="GHEA Grapalat" w:cs="Sylfaen"/>
                <w:b/>
                <w:sz w:val="18"/>
                <w:szCs w:val="18"/>
              </w:rPr>
              <w:t>6</w:t>
            </w:r>
            <w:r w:rsidRPr="00CF2321">
              <w:rPr>
                <w:rFonts w:ascii="GHEA Grapalat" w:hAnsi="GHEA Grapalat" w:cs="Sylfaen"/>
                <w:b/>
                <w:sz w:val="18"/>
                <w:szCs w:val="18"/>
                <w:lang w:val="hy-AM"/>
              </w:rPr>
              <w:t>թ</w:t>
            </w:r>
            <w:r>
              <w:rPr>
                <w:rFonts w:ascii="GHEA Grapalat" w:hAnsi="GHEA Grapalat" w:cs="Sylfaen"/>
                <w:b/>
                <w:sz w:val="18"/>
                <w:szCs w:val="18"/>
              </w:rPr>
              <w:t>թ.</w:t>
            </w:r>
            <w:r w:rsidRPr="00CF2321">
              <w:rPr>
                <w:rFonts w:ascii="GHEA Grapalat" w:hAnsi="GHEA Grapalat" w:cs="Sylfaen"/>
                <w:b/>
                <w:sz w:val="18"/>
                <w:szCs w:val="18"/>
                <w:lang w:val="hy-AM"/>
              </w:rPr>
              <w:t>, կուտակային</w:t>
            </w:r>
            <w:r w:rsidRPr="00CF2321">
              <w:rPr>
                <w:rFonts w:ascii="GHEA Grapalat" w:hAnsi="GHEA Grapalat" w:cs="Sylfaen"/>
                <w:b/>
                <w:sz w:val="18"/>
                <w:szCs w:val="18"/>
                <w:vertAlign w:val="superscript"/>
                <w:lang w:val="hy-AM"/>
              </w:rPr>
              <w:footnoteReference w:id="1"/>
            </w:r>
          </w:p>
        </w:tc>
        <w:tc>
          <w:tcPr>
            <w:tcW w:w="4980" w:type="dxa"/>
          </w:tcPr>
          <w:p w14:paraId="0F98ACE9" w14:textId="6099CA35" w:rsidR="00090DAD" w:rsidRPr="00CF2321" w:rsidRDefault="00090DAD" w:rsidP="00CA2C6F">
            <w:pPr>
              <w:keepNext/>
              <w:keepLines/>
              <w:numPr>
                <w:ilvl w:val="0"/>
                <w:numId w:val="1"/>
              </w:numPr>
              <w:tabs>
                <w:tab w:val="left" w:pos="0"/>
                <w:tab w:val="left" w:pos="284"/>
                <w:tab w:val="left" w:pos="1029"/>
                <w:tab w:val="left" w:pos="1276"/>
              </w:tabs>
              <w:autoSpaceDE w:val="0"/>
              <w:autoSpaceDN w:val="0"/>
              <w:adjustRightInd w:val="0"/>
              <w:spacing w:line="276" w:lineRule="auto"/>
              <w:ind w:left="0" w:firstLine="0"/>
              <w:contextualSpacing/>
              <w:rPr>
                <w:rFonts w:ascii="GHEA Grapalat" w:eastAsia="GHEA Grapalat" w:hAnsi="GHEA Grapalat" w:cs="GHEA Grapalat"/>
                <w:b/>
                <w:sz w:val="18"/>
                <w:szCs w:val="18"/>
                <w:lang w:val="hy-AM"/>
              </w:rPr>
            </w:pPr>
            <w:r w:rsidRPr="00CF2321">
              <w:rPr>
                <w:rFonts w:ascii="GHEA Grapalat" w:eastAsia="GHEA Grapalat" w:hAnsi="GHEA Grapalat" w:cs="GHEA Grapalat"/>
                <w:b/>
                <w:sz w:val="18"/>
                <w:szCs w:val="18"/>
                <w:lang w:val="hy-AM"/>
              </w:rPr>
              <w:t>Պետական բյուջեի հաշվեկշիռը 202</w:t>
            </w:r>
            <w:r w:rsidR="00647E1C" w:rsidRPr="00BD5562">
              <w:rPr>
                <w:rFonts w:ascii="GHEA Grapalat" w:eastAsia="GHEA Grapalat" w:hAnsi="GHEA Grapalat" w:cs="GHEA Grapalat"/>
                <w:b/>
                <w:sz w:val="18"/>
                <w:szCs w:val="18"/>
                <w:lang w:val="hy-AM"/>
              </w:rPr>
              <w:t>2</w:t>
            </w:r>
            <w:r>
              <w:rPr>
                <w:rFonts w:ascii="GHEA Grapalat" w:eastAsia="GHEA Grapalat" w:hAnsi="GHEA Grapalat" w:cs="GHEA Grapalat"/>
                <w:b/>
                <w:sz w:val="18"/>
                <w:szCs w:val="18"/>
                <w:lang w:val="hy-AM"/>
              </w:rPr>
              <w:t>-</w:t>
            </w:r>
            <w:r w:rsidRPr="00CF2321">
              <w:rPr>
                <w:rFonts w:ascii="GHEA Grapalat" w:eastAsia="GHEA Grapalat" w:hAnsi="GHEA Grapalat" w:cs="GHEA Grapalat"/>
                <w:b/>
                <w:sz w:val="18"/>
                <w:szCs w:val="18"/>
                <w:lang w:val="hy-AM"/>
              </w:rPr>
              <w:t>202</w:t>
            </w:r>
            <w:r w:rsidR="00647E1C" w:rsidRPr="00BD5562">
              <w:rPr>
                <w:rFonts w:ascii="GHEA Grapalat" w:eastAsia="GHEA Grapalat" w:hAnsi="GHEA Grapalat" w:cs="GHEA Grapalat"/>
                <w:b/>
                <w:sz w:val="18"/>
                <w:szCs w:val="18"/>
                <w:lang w:val="hy-AM"/>
              </w:rPr>
              <w:t>6</w:t>
            </w:r>
            <w:r w:rsidRPr="00CF2321">
              <w:rPr>
                <w:rFonts w:ascii="GHEA Grapalat" w:eastAsia="GHEA Grapalat" w:hAnsi="GHEA Grapalat" w:cs="GHEA Grapalat"/>
                <w:b/>
                <w:sz w:val="18"/>
                <w:szCs w:val="18"/>
                <w:lang w:val="hy-AM"/>
              </w:rPr>
              <w:t xml:space="preserve">թթ. </w:t>
            </w:r>
            <w:r w:rsidRPr="00A54D3B">
              <w:rPr>
                <w:rFonts w:ascii="GHEA Grapalat" w:hAnsi="GHEA Grapalat" w:cs="Sylfaen"/>
                <w:b/>
                <w:sz w:val="18"/>
                <w:szCs w:val="18"/>
                <w:lang w:val="hy-AM"/>
              </w:rPr>
              <w:t>առաջին</w:t>
            </w:r>
            <w:r w:rsidRPr="00CF2321">
              <w:rPr>
                <w:rFonts w:ascii="GHEA Grapalat" w:eastAsia="GHEA Grapalat" w:hAnsi="GHEA Grapalat" w:cs="GHEA Grapalat"/>
                <w:b/>
                <w:sz w:val="18"/>
                <w:szCs w:val="18"/>
                <w:lang w:val="hy-AM"/>
              </w:rPr>
              <w:t xml:space="preserve"> </w:t>
            </w:r>
            <w:r>
              <w:rPr>
                <w:rFonts w:ascii="GHEA Grapalat" w:eastAsia="GHEA Grapalat" w:hAnsi="GHEA Grapalat" w:cs="GHEA Grapalat"/>
                <w:b/>
                <w:sz w:val="18"/>
                <w:szCs w:val="18"/>
                <w:lang w:val="hy-AM"/>
              </w:rPr>
              <w:t>կիսա</w:t>
            </w:r>
            <w:r w:rsidRPr="00CF2321">
              <w:rPr>
                <w:rFonts w:ascii="GHEA Grapalat" w:eastAsia="GHEA Grapalat" w:hAnsi="GHEA Grapalat" w:cs="GHEA Grapalat"/>
                <w:b/>
                <w:sz w:val="18"/>
                <w:szCs w:val="18"/>
                <w:lang w:val="hy-AM"/>
              </w:rPr>
              <w:t>մսյակներում, մլրդ դրամ</w:t>
            </w:r>
          </w:p>
        </w:tc>
      </w:tr>
      <w:tr w:rsidR="00090DAD" w:rsidRPr="00140E3A" w14:paraId="19BF5F89" w14:textId="77777777" w:rsidTr="00CA2C6F">
        <w:tc>
          <w:tcPr>
            <w:tcW w:w="5226" w:type="dxa"/>
          </w:tcPr>
          <w:p w14:paraId="573122FC" w14:textId="77777777" w:rsidR="00090DAD" w:rsidRPr="00140E3A" w:rsidRDefault="00090DAD" w:rsidP="00207F95">
            <w:pPr>
              <w:spacing w:before="60" w:line="360" w:lineRule="auto"/>
              <w:jc w:val="both"/>
              <w:rPr>
                <w:rFonts w:ascii="GHEA Grapalat" w:hAnsi="GHEA Grapalat" w:cs="GHEA Grapalat"/>
                <w:sz w:val="22"/>
                <w:szCs w:val="22"/>
                <w:lang w:val="hy-AM"/>
              </w:rPr>
            </w:pPr>
            <w:r w:rsidRPr="00140E3A">
              <w:rPr>
                <w:rFonts w:ascii="GHEA Grapalat" w:eastAsia="GHEA Grapalat" w:hAnsi="GHEA Grapalat" w:cs="GHEA Grapalat"/>
                <w:b/>
                <w:noProof/>
              </w:rPr>
              <w:drawing>
                <wp:inline distT="0" distB="0" distL="0" distR="0" wp14:anchorId="4ED1136D" wp14:editId="4DC5420A">
                  <wp:extent cx="3171825" cy="286702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4980" w:type="dxa"/>
          </w:tcPr>
          <w:p w14:paraId="1317F930" w14:textId="77777777" w:rsidR="00090DAD" w:rsidRPr="00140E3A" w:rsidRDefault="00090DAD" w:rsidP="00207F95">
            <w:pPr>
              <w:spacing w:before="60" w:line="360" w:lineRule="auto"/>
              <w:jc w:val="both"/>
              <w:rPr>
                <w:rFonts w:ascii="GHEA Grapalat" w:hAnsi="GHEA Grapalat" w:cs="GHEA Grapalat"/>
                <w:sz w:val="22"/>
                <w:szCs w:val="22"/>
                <w:lang w:val="hy-AM"/>
              </w:rPr>
            </w:pPr>
            <w:r w:rsidRPr="00140E3A">
              <w:rPr>
                <w:rFonts w:ascii="GHEA Grapalat" w:eastAsia="GHEA Grapalat" w:hAnsi="GHEA Grapalat" w:cs="GHEA Grapalat"/>
                <w:b/>
                <w:noProof/>
              </w:rPr>
              <w:drawing>
                <wp:inline distT="0" distB="0" distL="0" distR="0" wp14:anchorId="33791D04" wp14:editId="74DB5C3C">
                  <wp:extent cx="3076575" cy="2867025"/>
                  <wp:effectExtent l="0" t="0" r="9525" b="952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14:paraId="5DC0CDFB" w14:textId="77777777" w:rsidR="00090DAD" w:rsidRPr="00B02B97" w:rsidRDefault="00090DAD" w:rsidP="000D6259">
      <w:pPr>
        <w:spacing w:after="0" w:line="276" w:lineRule="auto"/>
        <w:contextualSpacing/>
        <w:jc w:val="both"/>
        <w:rPr>
          <w:rFonts w:ascii="GHEA Grapalat" w:hAnsi="GHEA Grapalat" w:cs="GHEA Grapalat"/>
          <w:lang w:val="hy-AM"/>
        </w:rPr>
      </w:pPr>
    </w:p>
    <w:sectPr w:rsidR="00090DAD" w:rsidRPr="00B02B97" w:rsidSect="00A73AE1">
      <w:footerReference w:type="default" r:id="rId13"/>
      <w:pgSz w:w="11906" w:h="16838" w:code="9"/>
      <w:pgMar w:top="1134" w:right="567" w:bottom="567" w:left="1134" w:header="720" w:footer="720" w:gutter="0"/>
      <w:pgNumType w:start="29"/>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A39E6C" w14:textId="77777777" w:rsidR="00126D54" w:rsidRDefault="00126D54" w:rsidP="0007724A">
      <w:pPr>
        <w:spacing w:after="0" w:line="240" w:lineRule="auto"/>
      </w:pPr>
      <w:r>
        <w:separator/>
      </w:r>
    </w:p>
  </w:endnote>
  <w:endnote w:type="continuationSeparator" w:id="0">
    <w:p w14:paraId="7A53CEF5" w14:textId="77777777" w:rsidR="00126D54" w:rsidRDefault="00126D54" w:rsidP="00077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HEA Grapalat">
    <w:panose1 w:val="02000506050000020003"/>
    <w:charset w:val="00"/>
    <w:family w:val="modern"/>
    <w:notTrueType/>
    <w:pitch w:val="variable"/>
    <w:sig w:usb0="A00006AF" w:usb1="5000204B"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7026694"/>
      <w:docPartObj>
        <w:docPartGallery w:val="Page Numbers (Bottom of Page)"/>
        <w:docPartUnique/>
      </w:docPartObj>
    </w:sdtPr>
    <w:sdtEndPr>
      <w:rPr>
        <w:noProof/>
      </w:rPr>
    </w:sdtEndPr>
    <w:sdtContent>
      <w:p w14:paraId="1D671677" w14:textId="52BE7A31" w:rsidR="00C44F3C" w:rsidRDefault="00C44F3C">
        <w:pPr>
          <w:pStyle w:val="Footer"/>
          <w:jc w:val="right"/>
        </w:pPr>
        <w:r w:rsidRPr="00D4228D">
          <w:rPr>
            <w:rFonts w:ascii="GHEA Grapalat" w:hAnsi="GHEA Grapalat"/>
          </w:rPr>
          <w:fldChar w:fldCharType="begin"/>
        </w:r>
        <w:r w:rsidRPr="00D4228D">
          <w:rPr>
            <w:rFonts w:ascii="GHEA Grapalat" w:hAnsi="GHEA Grapalat"/>
          </w:rPr>
          <w:instrText xml:space="preserve"> PAGE   \* MERGEFORMAT </w:instrText>
        </w:r>
        <w:r w:rsidRPr="00D4228D">
          <w:rPr>
            <w:rFonts w:ascii="GHEA Grapalat" w:hAnsi="GHEA Grapalat"/>
          </w:rPr>
          <w:fldChar w:fldCharType="separate"/>
        </w:r>
        <w:r w:rsidR="00D844ED">
          <w:rPr>
            <w:rFonts w:ascii="GHEA Grapalat" w:hAnsi="GHEA Grapalat"/>
            <w:noProof/>
          </w:rPr>
          <w:t>29</w:t>
        </w:r>
        <w:r w:rsidRPr="00D4228D">
          <w:rPr>
            <w:rFonts w:ascii="GHEA Grapalat" w:hAnsi="GHEA Grapalat"/>
            <w:noProof/>
          </w:rPr>
          <w:fldChar w:fldCharType="end"/>
        </w:r>
      </w:p>
    </w:sdtContent>
  </w:sdt>
  <w:p w14:paraId="16D5A07C" w14:textId="77777777" w:rsidR="00C44F3C" w:rsidRDefault="00C44F3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FFC8BB" w14:textId="77777777" w:rsidR="00126D54" w:rsidRDefault="00126D54" w:rsidP="0007724A">
      <w:pPr>
        <w:spacing w:after="0" w:line="240" w:lineRule="auto"/>
      </w:pPr>
      <w:r>
        <w:separator/>
      </w:r>
    </w:p>
  </w:footnote>
  <w:footnote w:type="continuationSeparator" w:id="0">
    <w:p w14:paraId="1B7C72F4" w14:textId="77777777" w:rsidR="00126D54" w:rsidRDefault="00126D54" w:rsidP="0007724A">
      <w:pPr>
        <w:spacing w:after="0" w:line="240" w:lineRule="auto"/>
      </w:pPr>
      <w:r>
        <w:continuationSeparator/>
      </w:r>
    </w:p>
  </w:footnote>
  <w:footnote w:id="1">
    <w:p w14:paraId="0B510AE4" w14:textId="77777777" w:rsidR="00090DAD" w:rsidRPr="00CF2321" w:rsidRDefault="00090DAD" w:rsidP="00090DAD">
      <w:pPr>
        <w:pStyle w:val="FootnoteText"/>
        <w:jc w:val="both"/>
        <w:rPr>
          <w:rFonts w:ascii="GHEA Grapalat" w:eastAsia="GHEA Grapalat" w:hAnsi="GHEA Grapalat" w:cs="GHEA Grapalat"/>
          <w:color w:val="000000"/>
          <w:sz w:val="18"/>
          <w:szCs w:val="18"/>
        </w:rPr>
      </w:pPr>
      <w:r w:rsidRPr="00CF2321">
        <w:rPr>
          <w:rStyle w:val="FootnoteReference"/>
          <w:rFonts w:ascii="GHEA Grapalat" w:hAnsi="GHEA Grapalat"/>
          <w:sz w:val="18"/>
          <w:szCs w:val="18"/>
        </w:rPr>
        <w:footnoteRef/>
      </w:r>
      <w:r w:rsidRPr="00CF2321">
        <w:rPr>
          <w:rFonts w:ascii="GHEA Grapalat" w:hAnsi="GHEA Grapalat"/>
          <w:sz w:val="18"/>
          <w:szCs w:val="18"/>
        </w:rPr>
        <w:t xml:space="preserve"> </w:t>
      </w:r>
      <w:r w:rsidRPr="00CF2321">
        <w:rPr>
          <w:rFonts w:ascii="GHEA Grapalat" w:eastAsia="GHEA Grapalat" w:hAnsi="GHEA Grapalat" w:cs="GHEA Grapalat"/>
          <w:color w:val="000000"/>
          <w:sz w:val="18"/>
          <w:szCs w:val="18"/>
        </w:rPr>
        <w:t>Աղբյուրը՝ ՀՀ ՖՆ գնահատական</w:t>
      </w:r>
    </w:p>
    <w:p w14:paraId="3F1B8267" w14:textId="0027BCCD" w:rsidR="00090DAD" w:rsidRPr="00CF2321" w:rsidRDefault="00090DAD" w:rsidP="00090DAD">
      <w:pPr>
        <w:pStyle w:val="FootnoteText"/>
        <w:jc w:val="both"/>
        <w:rPr>
          <w:rFonts w:ascii="GHEA Grapalat" w:hAnsi="GHEA Grapalat"/>
          <w:sz w:val="18"/>
          <w:szCs w:val="18"/>
        </w:rPr>
      </w:pPr>
      <w:r w:rsidRPr="00CF2321">
        <w:rPr>
          <w:rFonts w:ascii="GHEA Grapalat" w:eastAsia="GHEA Grapalat" w:hAnsi="GHEA Grapalat" w:cs="GHEA Grapalat"/>
          <w:color w:val="000000"/>
          <w:sz w:val="18"/>
          <w:szCs w:val="18"/>
        </w:rPr>
        <w:t>Հարկաբյուջետային ազդակի հաշվարկներում օգտագործված եկամուտների և ծախսերի ցուցանիշներում կատարվել են անհրաժեշտ ճշգրտումներ՝ արտացոլելու կառավարության կողմից իրականացված այն բոլոր գործառնությունները, որոնք չեն ներառվել ծախսերում, սակայն կարող են ազդեցություն ունեցած լինել ամբողջական պահանջարկի վրա, կամ հակառակը։</w:t>
      </w:r>
      <w:r w:rsidR="00A501AE">
        <w:rPr>
          <w:rFonts w:ascii="GHEA Grapalat" w:eastAsia="GHEA Grapalat" w:hAnsi="GHEA Grapalat" w:cs="GHEA Grapalat"/>
          <w:color w:val="000000"/>
          <w:sz w:val="18"/>
          <w:szCs w:val="18"/>
        </w:rPr>
        <w:t xml:space="preserve">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4E55C0"/>
    <w:multiLevelType w:val="hybridMultilevel"/>
    <w:tmpl w:val="8B0AA0C2"/>
    <w:lvl w:ilvl="0" w:tplc="9E42C86A">
      <w:start w:val="1"/>
      <w:numFmt w:val="decimal"/>
      <w:lvlText w:val="Գծապատկեր %1."/>
      <w:lvlJc w:val="left"/>
      <w:pPr>
        <w:ind w:left="1778" w:hanging="360"/>
      </w:pPr>
      <w:rPr>
        <w:rFonts w:ascii="GHEA Grapalat" w:hAnsi="GHEA Grapalat" w:hint="default"/>
        <w:b/>
        <w:i/>
        <w:sz w:val="22"/>
        <w:szCs w:val="22"/>
        <w:lang w:val="de-AT"/>
      </w:rPr>
    </w:lvl>
    <w:lvl w:ilvl="1" w:tplc="04090019">
      <w:start w:val="1"/>
      <w:numFmt w:val="lowerLetter"/>
      <w:lvlText w:val="%2."/>
      <w:lvlJc w:val="left"/>
      <w:pPr>
        <w:ind w:left="1129" w:hanging="360"/>
      </w:pPr>
    </w:lvl>
    <w:lvl w:ilvl="2" w:tplc="0409001B">
      <w:start w:val="1"/>
      <w:numFmt w:val="lowerRoman"/>
      <w:lvlText w:val="%3."/>
      <w:lvlJc w:val="right"/>
      <w:pPr>
        <w:ind w:left="1849" w:hanging="180"/>
      </w:pPr>
    </w:lvl>
    <w:lvl w:ilvl="3" w:tplc="0409000F">
      <w:start w:val="1"/>
      <w:numFmt w:val="decimal"/>
      <w:lvlText w:val="%4."/>
      <w:lvlJc w:val="left"/>
      <w:pPr>
        <w:ind w:left="2569" w:hanging="360"/>
      </w:pPr>
    </w:lvl>
    <w:lvl w:ilvl="4" w:tplc="04090019">
      <w:start w:val="1"/>
      <w:numFmt w:val="lowerLetter"/>
      <w:lvlText w:val="%5."/>
      <w:lvlJc w:val="left"/>
      <w:pPr>
        <w:ind w:left="3289" w:hanging="360"/>
      </w:pPr>
    </w:lvl>
    <w:lvl w:ilvl="5" w:tplc="0409001B">
      <w:start w:val="1"/>
      <w:numFmt w:val="lowerRoman"/>
      <w:lvlText w:val="%6."/>
      <w:lvlJc w:val="right"/>
      <w:pPr>
        <w:ind w:left="4009" w:hanging="180"/>
      </w:pPr>
    </w:lvl>
    <w:lvl w:ilvl="6" w:tplc="0409000F">
      <w:start w:val="1"/>
      <w:numFmt w:val="decimal"/>
      <w:lvlText w:val="%7."/>
      <w:lvlJc w:val="left"/>
      <w:pPr>
        <w:ind w:left="4729" w:hanging="360"/>
      </w:pPr>
    </w:lvl>
    <w:lvl w:ilvl="7" w:tplc="04090019">
      <w:start w:val="1"/>
      <w:numFmt w:val="lowerLetter"/>
      <w:lvlText w:val="%8."/>
      <w:lvlJc w:val="left"/>
      <w:pPr>
        <w:ind w:left="5449" w:hanging="360"/>
      </w:pPr>
    </w:lvl>
    <w:lvl w:ilvl="8" w:tplc="0409001B">
      <w:start w:val="1"/>
      <w:numFmt w:val="lowerRoman"/>
      <w:lvlText w:val="%9."/>
      <w:lvlJc w:val="right"/>
      <w:pPr>
        <w:ind w:left="6169" w:hanging="180"/>
      </w:pPr>
    </w:lvl>
  </w:abstractNum>
  <w:abstractNum w:abstractNumId="1" w15:restartNumberingAfterBreak="0">
    <w:nsid w:val="427013DC"/>
    <w:multiLevelType w:val="hybridMultilevel"/>
    <w:tmpl w:val="48405726"/>
    <w:lvl w:ilvl="0" w:tplc="A378E36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0911300"/>
    <w:multiLevelType w:val="hybridMultilevel"/>
    <w:tmpl w:val="54D26CCA"/>
    <w:lvl w:ilvl="0" w:tplc="04090001">
      <w:start w:val="1"/>
      <w:numFmt w:val="bullet"/>
      <w:lvlText w:val=""/>
      <w:lvlJc w:val="left"/>
      <w:pPr>
        <w:ind w:left="1267" w:hanging="360"/>
      </w:pPr>
      <w:rPr>
        <w:rFonts w:ascii="Symbol" w:hAnsi="Symbol" w:hint="default"/>
      </w:rPr>
    </w:lvl>
    <w:lvl w:ilvl="1" w:tplc="04090003">
      <w:start w:val="1"/>
      <w:numFmt w:val="bullet"/>
      <w:lvlText w:val="o"/>
      <w:lvlJc w:val="left"/>
      <w:pPr>
        <w:ind w:left="1987" w:hanging="360"/>
      </w:pPr>
      <w:rPr>
        <w:rFonts w:ascii="Courier New" w:hAnsi="Courier New" w:cs="Courier New" w:hint="default"/>
      </w:rPr>
    </w:lvl>
    <w:lvl w:ilvl="2" w:tplc="04090005">
      <w:start w:val="1"/>
      <w:numFmt w:val="bullet"/>
      <w:lvlText w:val=""/>
      <w:lvlJc w:val="left"/>
      <w:pPr>
        <w:ind w:left="2707" w:hanging="360"/>
      </w:pPr>
      <w:rPr>
        <w:rFonts w:ascii="Wingdings" w:hAnsi="Wingdings" w:hint="default"/>
      </w:rPr>
    </w:lvl>
    <w:lvl w:ilvl="3" w:tplc="04090001">
      <w:start w:val="1"/>
      <w:numFmt w:val="bullet"/>
      <w:lvlText w:val=""/>
      <w:lvlJc w:val="left"/>
      <w:pPr>
        <w:ind w:left="3427" w:hanging="360"/>
      </w:pPr>
      <w:rPr>
        <w:rFonts w:ascii="Symbol" w:hAnsi="Symbol" w:hint="default"/>
      </w:rPr>
    </w:lvl>
    <w:lvl w:ilvl="4" w:tplc="04090003">
      <w:start w:val="1"/>
      <w:numFmt w:val="bullet"/>
      <w:lvlText w:val="o"/>
      <w:lvlJc w:val="left"/>
      <w:pPr>
        <w:ind w:left="4147" w:hanging="360"/>
      </w:pPr>
      <w:rPr>
        <w:rFonts w:ascii="Courier New" w:hAnsi="Courier New" w:cs="Courier New" w:hint="default"/>
      </w:rPr>
    </w:lvl>
    <w:lvl w:ilvl="5" w:tplc="04090005">
      <w:start w:val="1"/>
      <w:numFmt w:val="bullet"/>
      <w:lvlText w:val=""/>
      <w:lvlJc w:val="left"/>
      <w:pPr>
        <w:ind w:left="4867" w:hanging="360"/>
      </w:pPr>
      <w:rPr>
        <w:rFonts w:ascii="Wingdings" w:hAnsi="Wingdings" w:hint="default"/>
      </w:rPr>
    </w:lvl>
    <w:lvl w:ilvl="6" w:tplc="04090001">
      <w:start w:val="1"/>
      <w:numFmt w:val="bullet"/>
      <w:lvlText w:val=""/>
      <w:lvlJc w:val="left"/>
      <w:pPr>
        <w:ind w:left="5587" w:hanging="360"/>
      </w:pPr>
      <w:rPr>
        <w:rFonts w:ascii="Symbol" w:hAnsi="Symbol" w:hint="default"/>
      </w:rPr>
    </w:lvl>
    <w:lvl w:ilvl="7" w:tplc="04090003">
      <w:start w:val="1"/>
      <w:numFmt w:val="bullet"/>
      <w:lvlText w:val="o"/>
      <w:lvlJc w:val="left"/>
      <w:pPr>
        <w:ind w:left="6307" w:hanging="360"/>
      </w:pPr>
      <w:rPr>
        <w:rFonts w:ascii="Courier New" w:hAnsi="Courier New" w:cs="Courier New" w:hint="default"/>
      </w:rPr>
    </w:lvl>
    <w:lvl w:ilvl="8" w:tplc="04090005">
      <w:start w:val="1"/>
      <w:numFmt w:val="bullet"/>
      <w:lvlText w:val=""/>
      <w:lvlJc w:val="left"/>
      <w:pPr>
        <w:ind w:left="7027" w:hanging="360"/>
      </w:pPr>
      <w:rPr>
        <w:rFonts w:ascii="Wingdings" w:hAnsi="Wingdings" w:hint="default"/>
      </w:rPr>
    </w:lvl>
  </w:abstractNum>
  <w:abstractNum w:abstractNumId="3" w15:restartNumberingAfterBreak="0">
    <w:nsid w:val="60317FBD"/>
    <w:multiLevelType w:val="hybridMultilevel"/>
    <w:tmpl w:val="85326A00"/>
    <w:lvl w:ilvl="0" w:tplc="278EF688">
      <w:start w:val="1"/>
      <w:numFmt w:val="decimal"/>
      <w:lvlText w:val="Գծապատկեր %1."/>
      <w:lvlJc w:val="left"/>
      <w:pPr>
        <w:ind w:left="1778"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lvlOverride w:ilvl="0">
      <w:startOverride w:val="2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24A"/>
    <w:rsid w:val="00016A9D"/>
    <w:rsid w:val="00030C63"/>
    <w:rsid w:val="00062DDB"/>
    <w:rsid w:val="00064A52"/>
    <w:rsid w:val="000739EB"/>
    <w:rsid w:val="0007724A"/>
    <w:rsid w:val="00081EB9"/>
    <w:rsid w:val="00090DAD"/>
    <w:rsid w:val="000A074F"/>
    <w:rsid w:val="000D6259"/>
    <w:rsid w:val="000D7E46"/>
    <w:rsid w:val="000F07C5"/>
    <w:rsid w:val="000F6B04"/>
    <w:rsid w:val="00100484"/>
    <w:rsid w:val="001011D0"/>
    <w:rsid w:val="0010662A"/>
    <w:rsid w:val="001229B3"/>
    <w:rsid w:val="00126D54"/>
    <w:rsid w:val="00132BAC"/>
    <w:rsid w:val="001367CB"/>
    <w:rsid w:val="001501BA"/>
    <w:rsid w:val="0015603D"/>
    <w:rsid w:val="001628E5"/>
    <w:rsid w:val="00175D2E"/>
    <w:rsid w:val="00180107"/>
    <w:rsid w:val="00184E56"/>
    <w:rsid w:val="00184E86"/>
    <w:rsid w:val="00190BF3"/>
    <w:rsid w:val="001B7671"/>
    <w:rsid w:val="001C2CCE"/>
    <w:rsid w:val="001E101F"/>
    <w:rsid w:val="00202B03"/>
    <w:rsid w:val="002232F3"/>
    <w:rsid w:val="002374A3"/>
    <w:rsid w:val="002407AD"/>
    <w:rsid w:val="00245F13"/>
    <w:rsid w:val="00246BDF"/>
    <w:rsid w:val="00257202"/>
    <w:rsid w:val="002C0096"/>
    <w:rsid w:val="002E68B3"/>
    <w:rsid w:val="00312476"/>
    <w:rsid w:val="00320920"/>
    <w:rsid w:val="00325D84"/>
    <w:rsid w:val="00336CE1"/>
    <w:rsid w:val="00337D70"/>
    <w:rsid w:val="00374D12"/>
    <w:rsid w:val="003753F7"/>
    <w:rsid w:val="00381895"/>
    <w:rsid w:val="00395095"/>
    <w:rsid w:val="003B319E"/>
    <w:rsid w:val="003B405B"/>
    <w:rsid w:val="003C0DBB"/>
    <w:rsid w:val="003D07CB"/>
    <w:rsid w:val="003D0F03"/>
    <w:rsid w:val="003F1939"/>
    <w:rsid w:val="003F36A4"/>
    <w:rsid w:val="0040111F"/>
    <w:rsid w:val="0041383C"/>
    <w:rsid w:val="00421D6F"/>
    <w:rsid w:val="00434F54"/>
    <w:rsid w:val="00465FBA"/>
    <w:rsid w:val="004737CF"/>
    <w:rsid w:val="004860BF"/>
    <w:rsid w:val="00491B04"/>
    <w:rsid w:val="004A3F2F"/>
    <w:rsid w:val="004A73EA"/>
    <w:rsid w:val="004B2983"/>
    <w:rsid w:val="004B356F"/>
    <w:rsid w:val="004D143E"/>
    <w:rsid w:val="004E1475"/>
    <w:rsid w:val="004E6A4D"/>
    <w:rsid w:val="004F555D"/>
    <w:rsid w:val="00501FAA"/>
    <w:rsid w:val="005103F0"/>
    <w:rsid w:val="005264C9"/>
    <w:rsid w:val="00540737"/>
    <w:rsid w:val="00543E44"/>
    <w:rsid w:val="005723F3"/>
    <w:rsid w:val="0058197C"/>
    <w:rsid w:val="00582370"/>
    <w:rsid w:val="00592E01"/>
    <w:rsid w:val="005950F9"/>
    <w:rsid w:val="00596BDE"/>
    <w:rsid w:val="005979CA"/>
    <w:rsid w:val="005A6A8A"/>
    <w:rsid w:val="005B30DD"/>
    <w:rsid w:val="005C4BE9"/>
    <w:rsid w:val="005C6BE6"/>
    <w:rsid w:val="005E5E70"/>
    <w:rsid w:val="005E7B11"/>
    <w:rsid w:val="0060006A"/>
    <w:rsid w:val="00606D6D"/>
    <w:rsid w:val="006105DD"/>
    <w:rsid w:val="00610DCB"/>
    <w:rsid w:val="00622A17"/>
    <w:rsid w:val="00625178"/>
    <w:rsid w:val="00627811"/>
    <w:rsid w:val="00630893"/>
    <w:rsid w:val="0063682C"/>
    <w:rsid w:val="00647E1C"/>
    <w:rsid w:val="00650EF3"/>
    <w:rsid w:val="006765FE"/>
    <w:rsid w:val="006A63AA"/>
    <w:rsid w:val="006B7103"/>
    <w:rsid w:val="006E64B9"/>
    <w:rsid w:val="00710968"/>
    <w:rsid w:val="00714375"/>
    <w:rsid w:val="00715C50"/>
    <w:rsid w:val="00716B24"/>
    <w:rsid w:val="007176E8"/>
    <w:rsid w:val="00724181"/>
    <w:rsid w:val="00771A13"/>
    <w:rsid w:val="00775591"/>
    <w:rsid w:val="007923D1"/>
    <w:rsid w:val="007A4DB8"/>
    <w:rsid w:val="007A5B01"/>
    <w:rsid w:val="007A70AF"/>
    <w:rsid w:val="007A722E"/>
    <w:rsid w:val="007B188E"/>
    <w:rsid w:val="007B4E35"/>
    <w:rsid w:val="00812FD2"/>
    <w:rsid w:val="00827F5D"/>
    <w:rsid w:val="00837694"/>
    <w:rsid w:val="00854D14"/>
    <w:rsid w:val="00857E9A"/>
    <w:rsid w:val="00867163"/>
    <w:rsid w:val="00871CDA"/>
    <w:rsid w:val="00880944"/>
    <w:rsid w:val="008900AC"/>
    <w:rsid w:val="0089073C"/>
    <w:rsid w:val="00895E11"/>
    <w:rsid w:val="008C21EF"/>
    <w:rsid w:val="008D543B"/>
    <w:rsid w:val="008F0D79"/>
    <w:rsid w:val="008F237A"/>
    <w:rsid w:val="008F6A8C"/>
    <w:rsid w:val="00903859"/>
    <w:rsid w:val="00912A34"/>
    <w:rsid w:val="009227A8"/>
    <w:rsid w:val="00924561"/>
    <w:rsid w:val="00944502"/>
    <w:rsid w:val="00945AA5"/>
    <w:rsid w:val="00947450"/>
    <w:rsid w:val="0097457B"/>
    <w:rsid w:val="0097765E"/>
    <w:rsid w:val="00981A11"/>
    <w:rsid w:val="00983ABA"/>
    <w:rsid w:val="0098534B"/>
    <w:rsid w:val="009926BF"/>
    <w:rsid w:val="009A1B95"/>
    <w:rsid w:val="009B191F"/>
    <w:rsid w:val="009B2030"/>
    <w:rsid w:val="009B628D"/>
    <w:rsid w:val="009C2195"/>
    <w:rsid w:val="009D1D3F"/>
    <w:rsid w:val="009F17E3"/>
    <w:rsid w:val="00A10A12"/>
    <w:rsid w:val="00A213E8"/>
    <w:rsid w:val="00A501AE"/>
    <w:rsid w:val="00A54D3B"/>
    <w:rsid w:val="00A7053E"/>
    <w:rsid w:val="00A73AE1"/>
    <w:rsid w:val="00A814D4"/>
    <w:rsid w:val="00AB43CD"/>
    <w:rsid w:val="00AD2E63"/>
    <w:rsid w:val="00AD786C"/>
    <w:rsid w:val="00AE1777"/>
    <w:rsid w:val="00AE3BB2"/>
    <w:rsid w:val="00B02B97"/>
    <w:rsid w:val="00B047A6"/>
    <w:rsid w:val="00B05237"/>
    <w:rsid w:val="00B06FAB"/>
    <w:rsid w:val="00B248A0"/>
    <w:rsid w:val="00B47446"/>
    <w:rsid w:val="00B51A69"/>
    <w:rsid w:val="00B62232"/>
    <w:rsid w:val="00B902E5"/>
    <w:rsid w:val="00B9271F"/>
    <w:rsid w:val="00BA69B1"/>
    <w:rsid w:val="00BD5562"/>
    <w:rsid w:val="00C04037"/>
    <w:rsid w:val="00C13D94"/>
    <w:rsid w:val="00C25880"/>
    <w:rsid w:val="00C32284"/>
    <w:rsid w:val="00C36857"/>
    <w:rsid w:val="00C41DE5"/>
    <w:rsid w:val="00C44F3C"/>
    <w:rsid w:val="00C62C9F"/>
    <w:rsid w:val="00C66602"/>
    <w:rsid w:val="00C678DF"/>
    <w:rsid w:val="00C775EB"/>
    <w:rsid w:val="00C86AF1"/>
    <w:rsid w:val="00C97913"/>
    <w:rsid w:val="00CA286A"/>
    <w:rsid w:val="00CA2C6F"/>
    <w:rsid w:val="00CA368A"/>
    <w:rsid w:val="00CB2F70"/>
    <w:rsid w:val="00CC6D34"/>
    <w:rsid w:val="00CF2321"/>
    <w:rsid w:val="00D13802"/>
    <w:rsid w:val="00D14A26"/>
    <w:rsid w:val="00D2042D"/>
    <w:rsid w:val="00D4228D"/>
    <w:rsid w:val="00D47C25"/>
    <w:rsid w:val="00D50B6C"/>
    <w:rsid w:val="00D61659"/>
    <w:rsid w:val="00D72727"/>
    <w:rsid w:val="00D7391D"/>
    <w:rsid w:val="00D81A71"/>
    <w:rsid w:val="00D844ED"/>
    <w:rsid w:val="00D8797D"/>
    <w:rsid w:val="00DA264C"/>
    <w:rsid w:val="00DB28AB"/>
    <w:rsid w:val="00DB3FFB"/>
    <w:rsid w:val="00DD6E9B"/>
    <w:rsid w:val="00DF1197"/>
    <w:rsid w:val="00DF35C8"/>
    <w:rsid w:val="00E01D0A"/>
    <w:rsid w:val="00E03288"/>
    <w:rsid w:val="00E20CF4"/>
    <w:rsid w:val="00E50ACC"/>
    <w:rsid w:val="00E51B62"/>
    <w:rsid w:val="00E538C8"/>
    <w:rsid w:val="00E54D76"/>
    <w:rsid w:val="00E573D7"/>
    <w:rsid w:val="00E576B7"/>
    <w:rsid w:val="00E754FF"/>
    <w:rsid w:val="00E8091D"/>
    <w:rsid w:val="00EA010D"/>
    <w:rsid w:val="00EB7A3A"/>
    <w:rsid w:val="00EC33A4"/>
    <w:rsid w:val="00EE0D8B"/>
    <w:rsid w:val="00EF6335"/>
    <w:rsid w:val="00F01D53"/>
    <w:rsid w:val="00F115F5"/>
    <w:rsid w:val="00F30C2E"/>
    <w:rsid w:val="00F46787"/>
    <w:rsid w:val="00F63E89"/>
    <w:rsid w:val="00F66F52"/>
    <w:rsid w:val="00F75E98"/>
    <w:rsid w:val="00F82CEC"/>
    <w:rsid w:val="00F87CE6"/>
    <w:rsid w:val="00F90432"/>
    <w:rsid w:val="00FA5B7B"/>
    <w:rsid w:val="00FB6AA1"/>
    <w:rsid w:val="00FC7541"/>
    <w:rsid w:val="00FD4ED0"/>
    <w:rsid w:val="00FD65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245569"/>
  <w15:chartTrackingRefBased/>
  <w15:docId w15:val="{ADDD9D8F-926C-4865-A74A-21F5375B2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aliases w:val="Paranum"/>
    <w:basedOn w:val="Normal"/>
    <w:next w:val="Normal"/>
    <w:link w:val="Heading2Char"/>
    <w:qFormat/>
    <w:rsid w:val="0007724A"/>
    <w:pPr>
      <w:keepNext/>
      <w:overflowPunct w:val="0"/>
      <w:autoSpaceDE w:val="0"/>
      <w:autoSpaceDN w:val="0"/>
      <w:adjustRightInd w:val="0"/>
      <w:spacing w:before="240" w:after="60" w:line="240" w:lineRule="auto"/>
      <w:textAlignment w:val="baseline"/>
      <w:outlineLvl w:val="1"/>
    </w:pPr>
    <w:rPr>
      <w:rFonts w:ascii="Arial" w:eastAsia="Times New Roman" w:hAnsi="Arial" w:cs="Times New Roman"/>
      <w:b/>
      <w:i/>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Paranum Char"/>
    <w:basedOn w:val="DefaultParagraphFont"/>
    <w:link w:val="Heading2"/>
    <w:rsid w:val="0007724A"/>
    <w:rPr>
      <w:rFonts w:ascii="Arial" w:eastAsia="Times New Roman" w:hAnsi="Arial" w:cs="Times New Roman"/>
      <w:b/>
      <w:i/>
      <w:sz w:val="28"/>
      <w:szCs w:val="20"/>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07724A"/>
    <w:pPr>
      <w:spacing w:after="0" w:line="240" w:lineRule="auto"/>
    </w:pPr>
    <w:rPr>
      <w:rFonts w:ascii="Arial Armenian" w:eastAsia="Times New Roman" w:hAnsi="Arial Armenian" w:cs="Times New Roman"/>
      <w:sz w:val="20"/>
      <w:szCs w:val="20"/>
    </w:rPr>
  </w:style>
  <w:style w:type="character" w:customStyle="1" w:styleId="FootnoteTextChar">
    <w:name w:val="Footnote Text Char"/>
    <w:basedOn w:val="DefaultParagraphFont"/>
    <w:uiPriority w:val="99"/>
    <w:semiHidden/>
    <w:rsid w:val="0007724A"/>
    <w:rPr>
      <w:sz w:val="20"/>
      <w:szCs w:val="20"/>
    </w:rPr>
  </w:style>
  <w:style w:type="character" w:customStyle="1" w:styleId="FootnoteTextChar1">
    <w:name w:val="Footnote Text Char1"/>
    <w:aliases w:val="fn Char1,ADB Char1,single space Char,footnote text Char Char,fn Char Char,ADB Char Char,single space Char Char Char,footnote text Char1,FOOTNOTES Char Char,FOOTNOTES Char Char Char Char,FOOTNOTES Char1,Footnote Text Char2 Char Char"/>
    <w:link w:val="FootnoteText"/>
    <w:uiPriority w:val="99"/>
    <w:rsid w:val="0007724A"/>
    <w:rPr>
      <w:rFonts w:ascii="Arial Armenian" w:eastAsia="Times New Roman" w:hAnsi="Arial Armenian" w:cs="Times New Roman"/>
      <w:sz w:val="20"/>
      <w:szCs w:val="20"/>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07724A"/>
    <w:rPr>
      <w:vertAlign w:val="superscript"/>
    </w:rPr>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uiPriority w:val="99"/>
    <w:rsid w:val="0007724A"/>
    <w:pPr>
      <w:spacing w:line="240" w:lineRule="exact"/>
    </w:pPr>
    <w:rPr>
      <w:vertAlign w:val="superscript"/>
    </w:rPr>
  </w:style>
  <w:style w:type="table" w:customStyle="1" w:styleId="TableGrid21">
    <w:name w:val="Table Grid21"/>
    <w:basedOn w:val="TableNormal"/>
    <w:next w:val="TableGrid"/>
    <w:uiPriority w:val="39"/>
    <w:rsid w:val="0007724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772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B191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191F"/>
    <w:rPr>
      <w:rFonts w:ascii="Segoe UI" w:hAnsi="Segoe UI" w:cs="Segoe UI"/>
      <w:sz w:val="18"/>
      <w:szCs w:val="18"/>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89073C"/>
    <w:pPr>
      <w:ind w:left="720"/>
      <w:contextualSpacing/>
    </w:p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E538C8"/>
  </w:style>
  <w:style w:type="character" w:styleId="CommentReference">
    <w:name w:val="annotation reference"/>
    <w:basedOn w:val="DefaultParagraphFont"/>
    <w:uiPriority w:val="99"/>
    <w:semiHidden/>
    <w:unhideWhenUsed/>
    <w:rsid w:val="00854D14"/>
    <w:rPr>
      <w:sz w:val="16"/>
      <w:szCs w:val="16"/>
    </w:rPr>
  </w:style>
  <w:style w:type="paragraph" w:styleId="CommentText">
    <w:name w:val="annotation text"/>
    <w:basedOn w:val="Normal"/>
    <w:link w:val="CommentTextChar"/>
    <w:uiPriority w:val="99"/>
    <w:semiHidden/>
    <w:unhideWhenUsed/>
    <w:rsid w:val="00854D14"/>
    <w:pPr>
      <w:spacing w:line="240" w:lineRule="auto"/>
    </w:pPr>
    <w:rPr>
      <w:sz w:val="20"/>
      <w:szCs w:val="20"/>
    </w:rPr>
  </w:style>
  <w:style w:type="character" w:customStyle="1" w:styleId="CommentTextChar">
    <w:name w:val="Comment Text Char"/>
    <w:basedOn w:val="DefaultParagraphFont"/>
    <w:link w:val="CommentText"/>
    <w:uiPriority w:val="99"/>
    <w:semiHidden/>
    <w:rsid w:val="00854D14"/>
    <w:rPr>
      <w:sz w:val="20"/>
      <w:szCs w:val="20"/>
    </w:rPr>
  </w:style>
  <w:style w:type="paragraph" w:styleId="CommentSubject">
    <w:name w:val="annotation subject"/>
    <w:basedOn w:val="CommentText"/>
    <w:next w:val="CommentText"/>
    <w:link w:val="CommentSubjectChar"/>
    <w:uiPriority w:val="99"/>
    <w:semiHidden/>
    <w:unhideWhenUsed/>
    <w:rsid w:val="00854D14"/>
    <w:rPr>
      <w:b/>
      <w:bCs/>
    </w:rPr>
  </w:style>
  <w:style w:type="character" w:customStyle="1" w:styleId="CommentSubjectChar">
    <w:name w:val="Comment Subject Char"/>
    <w:basedOn w:val="CommentTextChar"/>
    <w:link w:val="CommentSubject"/>
    <w:uiPriority w:val="99"/>
    <w:semiHidden/>
    <w:rsid w:val="00854D14"/>
    <w:rPr>
      <w:b/>
      <w:bCs/>
      <w:sz w:val="20"/>
      <w:szCs w:val="20"/>
    </w:rPr>
  </w:style>
  <w:style w:type="paragraph" w:styleId="Header">
    <w:name w:val="header"/>
    <w:basedOn w:val="Normal"/>
    <w:link w:val="HeaderChar"/>
    <w:uiPriority w:val="99"/>
    <w:unhideWhenUsed/>
    <w:rsid w:val="00D422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4228D"/>
  </w:style>
  <w:style w:type="paragraph" w:styleId="Footer">
    <w:name w:val="footer"/>
    <w:basedOn w:val="Normal"/>
    <w:link w:val="FooterChar"/>
    <w:uiPriority w:val="99"/>
    <w:unhideWhenUsed/>
    <w:rsid w:val="00D422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4228D"/>
  </w:style>
  <w:style w:type="paragraph" w:customStyle="1" w:styleId="a">
    <w:name w:val="Գծապատկեր"/>
    <w:basedOn w:val="Normal"/>
    <w:link w:val="Char"/>
    <w:autoRedefine/>
    <w:qFormat/>
    <w:rsid w:val="003D07CB"/>
    <w:pPr>
      <w:keepNext/>
      <w:keepLines/>
      <w:tabs>
        <w:tab w:val="left" w:pos="0"/>
        <w:tab w:val="left" w:pos="284"/>
        <w:tab w:val="left" w:pos="709"/>
        <w:tab w:val="left" w:pos="1276"/>
        <w:tab w:val="left" w:pos="1888"/>
        <w:tab w:val="left" w:pos="1985"/>
      </w:tabs>
      <w:autoSpaceDE w:val="0"/>
      <w:autoSpaceDN w:val="0"/>
      <w:adjustRightInd w:val="0"/>
      <w:spacing w:after="200" w:line="276" w:lineRule="auto"/>
    </w:pPr>
    <w:rPr>
      <w:rFonts w:ascii="GHEA Grapalat" w:eastAsia="GHEA Grapalat" w:hAnsi="GHEA Grapalat" w:cs="GHEA Grapalat"/>
      <w:noProof/>
    </w:rPr>
  </w:style>
  <w:style w:type="character" w:customStyle="1" w:styleId="Char">
    <w:name w:val="Գծապատկեր Char"/>
    <w:link w:val="a"/>
    <w:rsid w:val="003D07CB"/>
    <w:rPr>
      <w:rFonts w:ascii="GHEA Grapalat" w:eastAsia="GHEA Grapalat" w:hAnsi="GHEA Grapalat" w:cs="GHEA Grapalat"/>
      <w:noProof/>
    </w:rPr>
  </w:style>
  <w:style w:type="table" w:customStyle="1" w:styleId="TableGrid211">
    <w:name w:val="Table Grid211"/>
    <w:basedOn w:val="TableNormal"/>
    <w:next w:val="TableGrid"/>
    <w:uiPriority w:val="39"/>
    <w:rsid w:val="00090DA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A722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620069">
      <w:bodyDiv w:val="1"/>
      <w:marLeft w:val="0"/>
      <w:marRight w:val="0"/>
      <w:marTop w:val="0"/>
      <w:marBottom w:val="0"/>
      <w:divBdr>
        <w:top w:val="none" w:sz="0" w:space="0" w:color="auto"/>
        <w:left w:val="none" w:sz="0" w:space="0" w:color="auto"/>
        <w:bottom w:val="none" w:sz="0" w:space="0" w:color="auto"/>
        <w:right w:val="none" w:sz="0" w:space="0" w:color="auto"/>
      </w:divBdr>
    </w:div>
    <w:div w:id="801507768">
      <w:bodyDiv w:val="1"/>
      <w:marLeft w:val="0"/>
      <w:marRight w:val="0"/>
      <w:marTop w:val="0"/>
      <w:marBottom w:val="0"/>
      <w:divBdr>
        <w:top w:val="none" w:sz="0" w:space="0" w:color="auto"/>
        <w:left w:val="none" w:sz="0" w:space="0" w:color="auto"/>
        <w:bottom w:val="none" w:sz="0" w:space="0" w:color="auto"/>
        <w:right w:val="none" w:sz="0" w:space="0" w:color="auto"/>
      </w:divBdr>
      <w:divsChild>
        <w:div w:id="1176726547">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5.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solidFill>
                  <a:schemeClr val="tx1">
                    <a:lumMod val="65000"/>
                    <a:lumOff val="35000"/>
                  </a:schemeClr>
                </a:solidFill>
              </a:defRPr>
            </a:pPr>
            <a:r>
              <a:rPr lang="hy-AM" sz="1000" dirty="0">
                <a:solidFill>
                  <a:schemeClr val="tx1">
                    <a:lumMod val="65000"/>
                    <a:lumOff val="35000"/>
                  </a:schemeClr>
                </a:solidFill>
              </a:rPr>
              <a:t>Հարկային եկամուտներ</a:t>
            </a:r>
            <a:endParaRPr lang="en-US" sz="1000" dirty="0">
              <a:solidFill>
                <a:schemeClr val="tx1">
                  <a:lumMod val="65000"/>
                  <a:lumOff val="35000"/>
                </a:schemeClr>
              </a:solidFill>
            </a:endParaRPr>
          </a:p>
        </c:rich>
      </c:tx>
      <c:layout>
        <c:manualLayout>
          <c:xMode val="edge"/>
          <c:yMode val="edge"/>
          <c:x val="0.34063261067698608"/>
          <c:y val="3.2149641969896246E-2"/>
        </c:manualLayout>
      </c:layout>
      <c:overlay val="0"/>
    </c:title>
    <c:autoTitleDeleted val="0"/>
    <c:plotArea>
      <c:layout>
        <c:manualLayout>
          <c:layoutTarget val="inner"/>
          <c:xMode val="edge"/>
          <c:yMode val="edge"/>
          <c:x val="0.10419685185185185"/>
          <c:y val="0.12603787878787878"/>
          <c:w val="0.79647353291409118"/>
          <c:h val="0.58795737956687555"/>
        </c:manualLayout>
      </c:layout>
      <c:barChart>
        <c:barDir val="col"/>
        <c:grouping val="clustered"/>
        <c:varyColors val="0"/>
        <c:ser>
          <c:idx val="0"/>
          <c:order val="0"/>
          <c:tx>
            <c:strRef>
              <c:f>Sheet1!$A$2</c:f>
              <c:strCache>
                <c:ptCount val="1"/>
                <c:pt idx="0">
                  <c:v>Հարկային եկամուտներ, մլրդ դրամ</c:v>
                </c:pt>
              </c:strCache>
            </c:strRef>
          </c:tx>
          <c:spPr>
            <a:solidFill>
              <a:srgbClr val="5B9BD5"/>
            </a:solidFill>
            <a:ln w="28575" cap="rnd">
              <a:noFill/>
              <a:round/>
            </a:ln>
            <a:effectLst/>
          </c:spPr>
          <c:invertIfNegative val="0"/>
          <c:dLbls>
            <c:spPr>
              <a:noFill/>
              <a:ln>
                <a:noFill/>
              </a:ln>
              <a:effectLst/>
            </c:spPr>
            <c:txPr>
              <a:bodyPr rot="0" vert="horz"/>
              <a:lstStyle/>
              <a:p>
                <a:pPr>
                  <a:defRPr sz="10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2022  6 ամիս</c:v>
                </c:pt>
                <c:pt idx="1">
                  <c:v>2023 6 ամիս</c:v>
                </c:pt>
                <c:pt idx="2">
                  <c:v>2024 6 ամիս</c:v>
                </c:pt>
                <c:pt idx="3">
                  <c:v>2025 6 ամիս</c:v>
                </c:pt>
                <c:pt idx="4">
                  <c:v>2026 6 ամիս</c:v>
                </c:pt>
              </c:strCache>
            </c:strRef>
          </c:cat>
          <c:val>
            <c:numRef>
              <c:f>Sheet1!$B$2:$F$2</c:f>
              <c:numCache>
                <c:formatCode>_-* #,##0.0\ _ _-;\-* #,##0.0\ _ _-;_-* "-"??\ _ _-;_-@_-</c:formatCode>
                <c:ptCount val="5"/>
                <c:pt idx="0" formatCode="0.0">
                  <c:v>944.10897433640014</c:v>
                </c:pt>
                <c:pt idx="1">
                  <c:v>1127.544060446</c:v>
                </c:pt>
                <c:pt idx="2">
                  <c:v>1187.6383873999998</c:v>
                </c:pt>
                <c:pt idx="3">
                  <c:v>1356.00943446</c:v>
                </c:pt>
                <c:pt idx="4">
                  <c:v>1555.9150680400001</c:v>
                </c:pt>
              </c:numCache>
            </c:numRef>
          </c:val>
          <c:extLst>
            <c:ext xmlns:c16="http://schemas.microsoft.com/office/drawing/2014/chart" uri="{C3380CC4-5D6E-409C-BE32-E72D297353CC}">
              <c16:uniqueId val="{00000000-4AEB-4F3F-88C4-2D1CFC7AB690}"/>
            </c:ext>
          </c:extLst>
        </c:ser>
        <c:dLbls>
          <c:showLegendKey val="0"/>
          <c:showVal val="0"/>
          <c:showCatName val="0"/>
          <c:showSerName val="0"/>
          <c:showPercent val="0"/>
          <c:showBubbleSize val="0"/>
        </c:dLbls>
        <c:gapWidth val="150"/>
        <c:axId val="220859776"/>
        <c:axId val="220877952"/>
      </c:barChart>
      <c:lineChart>
        <c:grouping val="standard"/>
        <c:varyColors val="0"/>
        <c:ser>
          <c:idx val="1"/>
          <c:order val="1"/>
          <c:tx>
            <c:strRef>
              <c:f>Sheet1!$A$3</c:f>
              <c:strCache>
                <c:ptCount val="1"/>
                <c:pt idx="0">
                  <c:v>Աճի տեմպը  %</c:v>
                </c:pt>
              </c:strCache>
            </c:strRef>
          </c:tx>
          <c:spPr>
            <a:ln w="31750"/>
          </c:spPr>
          <c:dLbls>
            <c:dLbl>
              <c:idx val="2"/>
              <c:layout>
                <c:manualLayout>
                  <c:x val="-3.2520325203252036E-2"/>
                  <c:y val="-5.5944055944055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17A-420E-B6EA-40FCDBB96A59}"/>
                </c:ext>
              </c:extLst>
            </c:dLbl>
            <c:spPr>
              <a:noFill/>
              <a:ln>
                <a:noFill/>
              </a:ln>
              <a:effectLst/>
            </c:spPr>
            <c:txPr>
              <a:bodyPr rot="0" vert="horz" wrap="square" lIns="38100" tIns="19050" rIns="38100" bIns="19050" anchor="ctr">
                <a:spAutoFit/>
              </a:bodyPr>
              <a:lstStyle/>
              <a:p>
                <a:pPr>
                  <a:defRPr sz="10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2022  6 ամիս</c:v>
                </c:pt>
                <c:pt idx="1">
                  <c:v>2023 6 ամիս</c:v>
                </c:pt>
                <c:pt idx="2">
                  <c:v>2024 6 ամիս</c:v>
                </c:pt>
                <c:pt idx="3">
                  <c:v>2025 6 ամիս</c:v>
                </c:pt>
                <c:pt idx="4">
                  <c:v>2026 6 ամիս</c:v>
                </c:pt>
              </c:strCache>
            </c:strRef>
          </c:cat>
          <c:val>
            <c:numRef>
              <c:f>Sheet1!$B$3:$F$3</c:f>
              <c:numCache>
                <c:formatCode>0.0</c:formatCode>
                <c:ptCount val="5"/>
                <c:pt idx="0">
                  <c:v>24.235356699000164</c:v>
                </c:pt>
                <c:pt idx="1">
                  <c:v>19.429439936846915</c:v>
                </c:pt>
                <c:pt idx="2">
                  <c:v>5.3297161778920854</c:v>
                </c:pt>
                <c:pt idx="3">
                  <c:v>14.176907441507037</c:v>
                </c:pt>
                <c:pt idx="4">
                  <c:v>14.742200785181936</c:v>
                </c:pt>
              </c:numCache>
            </c:numRef>
          </c:val>
          <c:smooth val="0"/>
          <c:extLst>
            <c:ext xmlns:c16="http://schemas.microsoft.com/office/drawing/2014/chart" uri="{C3380CC4-5D6E-409C-BE32-E72D297353CC}">
              <c16:uniqueId val="{00000002-4AEB-4F3F-88C4-2D1CFC7AB690}"/>
            </c:ext>
          </c:extLst>
        </c:ser>
        <c:dLbls>
          <c:showLegendKey val="0"/>
          <c:showVal val="0"/>
          <c:showCatName val="0"/>
          <c:showSerName val="0"/>
          <c:showPercent val="0"/>
          <c:showBubbleSize val="0"/>
        </c:dLbls>
        <c:marker val="1"/>
        <c:smooth val="0"/>
        <c:axId val="1024496943"/>
        <c:axId val="1024508175"/>
      </c:lineChart>
      <c:catAx>
        <c:axId val="2208597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900"/>
            </a:pPr>
            <a:endParaRPr lang="en-US"/>
          </a:p>
        </c:txPr>
        <c:crossAx val="220877952"/>
        <c:crosses val="autoZero"/>
        <c:auto val="1"/>
        <c:lblAlgn val="ctr"/>
        <c:lblOffset val="100"/>
        <c:noMultiLvlLbl val="0"/>
      </c:catAx>
      <c:valAx>
        <c:axId val="220877952"/>
        <c:scaling>
          <c:orientation val="minMax"/>
        </c:scaling>
        <c:delete val="0"/>
        <c:axPos val="l"/>
        <c:numFmt formatCode="_-* #,##0.0\ _ _-;\-* #,##0.0\ _ _-;_-* &quot;-&quot;??\ _ _-;_-@_-" sourceLinked="0"/>
        <c:majorTickMark val="none"/>
        <c:minorTickMark val="none"/>
        <c:tickLblPos val="nextTo"/>
        <c:spPr>
          <a:noFill/>
          <a:ln>
            <a:noFill/>
          </a:ln>
          <a:effectLst/>
        </c:spPr>
        <c:txPr>
          <a:bodyPr rot="-60000000" vert="horz"/>
          <a:lstStyle/>
          <a:p>
            <a:pPr>
              <a:defRPr sz="1000"/>
            </a:pPr>
            <a:endParaRPr lang="en-US"/>
          </a:p>
        </c:txPr>
        <c:crossAx val="220859776"/>
        <c:crosses val="autoZero"/>
        <c:crossBetween val="between"/>
      </c:valAx>
      <c:valAx>
        <c:axId val="1024508175"/>
        <c:scaling>
          <c:orientation val="minMax"/>
        </c:scaling>
        <c:delete val="0"/>
        <c:axPos val="r"/>
        <c:numFmt formatCode="0.0" sourceLinked="1"/>
        <c:majorTickMark val="out"/>
        <c:minorTickMark val="none"/>
        <c:tickLblPos val="nextTo"/>
        <c:txPr>
          <a:bodyPr/>
          <a:lstStyle/>
          <a:p>
            <a:pPr>
              <a:defRPr sz="1000"/>
            </a:pPr>
            <a:endParaRPr lang="en-US"/>
          </a:p>
        </c:txPr>
        <c:crossAx val="1024496943"/>
        <c:crosses val="max"/>
        <c:crossBetween val="between"/>
      </c:valAx>
      <c:catAx>
        <c:axId val="1024496943"/>
        <c:scaling>
          <c:orientation val="minMax"/>
        </c:scaling>
        <c:delete val="1"/>
        <c:axPos val="b"/>
        <c:numFmt formatCode="General" sourceLinked="1"/>
        <c:majorTickMark val="out"/>
        <c:minorTickMark val="none"/>
        <c:tickLblPos val="nextTo"/>
        <c:crossAx val="1024508175"/>
        <c:crosses val="autoZero"/>
        <c:auto val="1"/>
        <c:lblAlgn val="ctr"/>
        <c:lblOffset val="100"/>
        <c:noMultiLvlLbl val="0"/>
      </c:catAx>
      <c:spPr>
        <a:solidFill>
          <a:schemeClr val="bg1"/>
        </a:solidFill>
        <a:ln>
          <a:solidFill>
            <a:sysClr val="window" lastClr="FFFFFF">
              <a:lumMod val="75000"/>
            </a:sysClr>
          </a:solidFill>
        </a:ln>
        <a:effectLst/>
      </c:spPr>
    </c:plotArea>
    <c:legend>
      <c:legendPos val="b"/>
      <c:layout>
        <c:manualLayout>
          <c:xMode val="edge"/>
          <c:yMode val="edge"/>
          <c:x val="0.10463347691553751"/>
          <c:y val="0.85323144340302948"/>
          <c:w val="0.79464289716316827"/>
          <c:h val="5.8446318556525385E-2"/>
        </c:manualLayout>
      </c:layout>
      <c:overlay val="0"/>
      <c:spPr>
        <a:noFill/>
        <a:ln>
          <a:noFill/>
        </a:ln>
        <a:effectLst/>
      </c:spPr>
      <c:txPr>
        <a:bodyPr rot="0" vert="horz"/>
        <a:lstStyle/>
        <a:p>
          <a:pPr>
            <a:defRPr sz="900"/>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ysClr val="window" lastClr="FFFFFF">
          <a:lumMod val="75000"/>
        </a:sysClr>
      </a:solidFill>
      <a:prstDash val="solid"/>
      <a:miter lim="800000"/>
    </a:ln>
    <a:effectLst/>
  </c:spPr>
  <c:txPr>
    <a:bodyPr/>
    <a:lstStyle/>
    <a:p>
      <a:pPr algn="just">
        <a:defRPr sz="1100">
          <a:solidFill>
            <a:schemeClr val="dk1"/>
          </a:solidFill>
          <a:latin typeface="GHEA Grapalat" panose="02000506050000020003" pitchFamily="50" charset="0"/>
          <a:ea typeface="+mn-ea"/>
          <a:cs typeface="+mn-cs"/>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pPr>
            <a:r>
              <a:rPr lang="hy-AM" sz="1000" b="1"/>
              <a:t>Ընթացիկ ծախսեր</a:t>
            </a:r>
            <a:endParaRPr lang="en-US" sz="1000" b="1"/>
          </a:p>
        </c:rich>
      </c:tx>
      <c:layout>
        <c:manualLayout>
          <c:xMode val="edge"/>
          <c:yMode val="edge"/>
          <c:x val="0.31603082851637765"/>
          <c:y val="1.4388489208633094E-2"/>
        </c:manualLayout>
      </c:layout>
      <c:overlay val="0"/>
    </c:title>
    <c:autoTitleDeleted val="0"/>
    <c:plotArea>
      <c:layout>
        <c:manualLayout>
          <c:layoutTarget val="inner"/>
          <c:xMode val="edge"/>
          <c:yMode val="edge"/>
          <c:x val="0.14903342284526572"/>
          <c:y val="0.1070930342340301"/>
          <c:w val="0.73178887321165775"/>
          <c:h val="0.6980343284427577"/>
        </c:manualLayout>
      </c:layout>
      <c:barChart>
        <c:barDir val="col"/>
        <c:grouping val="clustered"/>
        <c:varyColors val="0"/>
        <c:ser>
          <c:idx val="0"/>
          <c:order val="0"/>
          <c:tx>
            <c:strRef>
              <c:f>Sheet1!$B$1</c:f>
              <c:strCache>
                <c:ptCount val="1"/>
                <c:pt idx="0">
                  <c:v>Ծավալը, մլրդ դրամ</c:v>
                </c:pt>
              </c:strCache>
            </c:strRef>
          </c:tx>
          <c:invertIfNegative val="0"/>
          <c:dLbls>
            <c:dLbl>
              <c:idx val="0"/>
              <c:layout>
                <c:manualLayout>
                  <c:x val="-3.8535645472061657E-3"/>
                  <c:y val="0.1912479465246699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79-44DB-9891-C6F48B9D8EE4}"/>
                </c:ext>
              </c:extLst>
            </c:dLbl>
            <c:dLbl>
              <c:idx val="2"/>
              <c:layout>
                <c:manualLayout>
                  <c:x val="-7.0647867235255446E-17"/>
                  <c:y val="0.4174920221303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79-44DB-9891-C6F48B9D8EE4}"/>
                </c:ext>
              </c:extLst>
            </c:dLbl>
            <c:dLbl>
              <c:idx val="3"/>
              <c:layout>
                <c:manualLayout>
                  <c:x val="-1.4129573447051089E-16"/>
                  <c:y val="0.4815778243546894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79-44DB-9891-C6F48B9D8EE4}"/>
                </c:ext>
              </c:extLst>
            </c:dLbl>
            <c:spPr>
              <a:noFill/>
              <a:ln>
                <a:noFill/>
              </a:ln>
              <a:effectLst/>
            </c:spPr>
            <c:txPr>
              <a:bodyPr rot="-5400000" vert="horz" wrap="square" lIns="38100" tIns="19050" rIns="38100" bIns="19050" anchor="ctr">
                <a:spAutoFit/>
              </a:bodyPr>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5"/>
                <c:pt idx="0">
                  <c:v>2022 6 ամիս</c:v>
                </c:pt>
                <c:pt idx="1">
                  <c:v>2023 6 ամիս</c:v>
                </c:pt>
                <c:pt idx="2">
                  <c:v>2024 6 ամիս</c:v>
                </c:pt>
                <c:pt idx="3">
                  <c:v>2025 6 ամիս</c:v>
                </c:pt>
                <c:pt idx="4">
                  <c:v>2026 6 ամիս</c:v>
                </c:pt>
              </c:strCache>
            </c:strRef>
          </c:cat>
          <c:val>
            <c:numRef>
              <c:f>Sheet1!$B$2:$B$10</c:f>
              <c:numCache>
                <c:formatCode>_(* #,##0.0_);_(* \(#,##0.0\);_(* "-"??_);_(@_)</c:formatCode>
                <c:ptCount val="5"/>
                <c:pt idx="0">
                  <c:v>829.50339746740008</c:v>
                </c:pt>
                <c:pt idx="1">
                  <c:v>935.93041564999999</c:v>
                </c:pt>
                <c:pt idx="2">
                  <c:v>1077.85237637</c:v>
                </c:pt>
                <c:pt idx="3">
                  <c:v>1177.1467349000002</c:v>
                </c:pt>
                <c:pt idx="4">
                  <c:v>1366.09096127</c:v>
                </c:pt>
              </c:numCache>
            </c:numRef>
          </c:val>
          <c:extLst>
            <c:ext xmlns:c16="http://schemas.microsoft.com/office/drawing/2014/chart" uri="{C3380CC4-5D6E-409C-BE32-E72D297353CC}">
              <c16:uniqueId val="{00000003-0C79-44DB-9891-C6F48B9D8EE4}"/>
            </c:ext>
          </c:extLst>
        </c:ser>
        <c:ser>
          <c:idx val="1"/>
          <c:order val="2"/>
          <c:tx>
            <c:strRef>
              <c:f>Sheet1!$D$1</c:f>
              <c:strCache>
                <c:ptCount val="1"/>
                <c:pt idx="0">
                  <c:v>ներառյալ հիպոտեկի տոկոսագումար, մլրդ դրամ</c:v>
                </c:pt>
              </c:strCache>
            </c:strRef>
          </c:tx>
          <c:invertIfNegative val="0"/>
          <c:cat>
            <c:strRef>
              <c:f>Sheet1!$A$2:$A$10</c:f>
              <c:strCache>
                <c:ptCount val="5"/>
                <c:pt idx="0">
                  <c:v>2022 6 ամիս</c:v>
                </c:pt>
                <c:pt idx="1">
                  <c:v>2023 6 ամիս</c:v>
                </c:pt>
                <c:pt idx="2">
                  <c:v>2024 6 ամիս</c:v>
                </c:pt>
                <c:pt idx="3">
                  <c:v>2025 6 ամիս</c:v>
                </c:pt>
                <c:pt idx="4">
                  <c:v>2026 6 ամիս</c:v>
                </c:pt>
              </c:strCache>
            </c:strRef>
          </c:cat>
          <c:val>
            <c:numRef>
              <c:f>Sheet1!$D$2:$D$10</c:f>
            </c:numRef>
          </c:val>
          <c:extLst>
            <c:ext xmlns:c16="http://schemas.microsoft.com/office/drawing/2014/chart" uri="{C3380CC4-5D6E-409C-BE32-E72D297353CC}">
              <c16:uniqueId val="{00000004-0C79-44DB-9891-C6F48B9D8EE4}"/>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ED7D31">
                  <a:lumMod val="40000"/>
                  <a:lumOff val="60000"/>
                </a:srgbClr>
              </a:solidFill>
            </a:ln>
          </c:spPr>
          <c:marker>
            <c:symbol val="none"/>
          </c:marker>
          <c:dLbls>
            <c:dLbl>
              <c:idx val="0"/>
              <c:layout>
                <c:manualLayout>
                  <c:x val="-5.3949903660886318E-2"/>
                  <c:y val="4.31654676258992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79-44DB-9891-C6F48B9D8EE4}"/>
                </c:ext>
              </c:extLst>
            </c:dLbl>
            <c:dLbl>
              <c:idx val="1"/>
              <c:layout>
                <c:manualLayout>
                  <c:x val="-0.11390226510703506"/>
                  <c:y val="-2.51250967729753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79-44DB-9891-C6F48B9D8EE4}"/>
                </c:ext>
              </c:extLst>
            </c:dLbl>
            <c:dLbl>
              <c:idx val="2"/>
              <c:layout>
                <c:manualLayout>
                  <c:x val="-5.8809036153717777E-2"/>
                  <c:y val="-3.4235163050661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79-44DB-9891-C6F48B9D8EE4}"/>
                </c:ext>
              </c:extLst>
            </c:dLbl>
            <c:dLbl>
              <c:idx val="3"/>
              <c:layout>
                <c:manualLayout>
                  <c:x val="-5.7803468208092554E-2"/>
                  <c:y val="-6.71462829736211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C79-44DB-9891-C6F48B9D8EE4}"/>
                </c:ext>
              </c:extLst>
            </c:dLbl>
            <c:dLbl>
              <c:idx val="4"/>
              <c:layout>
                <c:manualLayout>
                  <c:x val="-7.3217726396917149E-2"/>
                  <c:y val="-2.398081534772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C79-44DB-9891-C6F48B9D8EE4}"/>
                </c:ext>
              </c:extLst>
            </c:dLbl>
            <c:spPr>
              <a:noFill/>
              <a:ln>
                <a:noFill/>
              </a:ln>
              <a:effectLst/>
            </c:spPr>
            <c:txPr>
              <a:bodyPr rot="0" vert="horz" wrap="square" lIns="38100" tIns="19050" rIns="38100" bIns="19050" anchor="ctr">
                <a:spAutoFit/>
              </a:bodyPr>
              <a:lstStyle/>
              <a:p>
                <a:pPr>
                  <a:defRPr sz="1000">
                    <a:solidFill>
                      <a:sysClr val="windowText" lastClr="000000"/>
                    </a:solidFill>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Sheet1!$A$2:$A$10</c:f>
              <c:strCache>
                <c:ptCount val="5"/>
                <c:pt idx="0">
                  <c:v>2022 6 ամիս</c:v>
                </c:pt>
                <c:pt idx="1">
                  <c:v>2023 6 ամիս</c:v>
                </c:pt>
                <c:pt idx="2">
                  <c:v>2024 6 ամիս</c:v>
                </c:pt>
                <c:pt idx="3">
                  <c:v>2025 6 ամիս</c:v>
                </c:pt>
                <c:pt idx="4">
                  <c:v>2026 6 ամիս</c:v>
                </c:pt>
              </c:strCache>
            </c:strRef>
          </c:cat>
          <c:val>
            <c:numRef>
              <c:f>Sheet1!$C$2:$C$10</c:f>
              <c:numCache>
                <c:formatCode>0.0</c:formatCode>
                <c:ptCount val="5"/>
                <c:pt idx="0">
                  <c:v>3.8170881806361079</c:v>
                </c:pt>
                <c:pt idx="1">
                  <c:v>12.830208834290225</c:v>
                </c:pt>
                <c:pt idx="2">
                  <c:v>15.163729946893078</c:v>
                </c:pt>
                <c:pt idx="3">
                  <c:v>9.2122409994961139</c:v>
                </c:pt>
                <c:pt idx="4">
                  <c:v>16.05103431612973</c:v>
                </c:pt>
              </c:numCache>
            </c:numRef>
          </c:val>
          <c:smooth val="0"/>
          <c:extLst>
            <c:ext xmlns:c16="http://schemas.microsoft.com/office/drawing/2014/chart" uri="{C3380CC4-5D6E-409C-BE32-E72D297353CC}">
              <c16:uniqueId val="{0000000A-0C79-44DB-9891-C6F48B9D8EE4}"/>
            </c:ext>
          </c:extLst>
        </c:ser>
        <c:ser>
          <c:idx val="3"/>
          <c:order val="3"/>
          <c:tx>
            <c:strRef>
              <c:f>Sheet1!$E$1</c:f>
              <c:strCache>
                <c:ptCount val="1"/>
                <c:pt idx="0">
                  <c:v>աճը (ներառյալ հիպոտեկի տոկոսագումար)</c:v>
                </c:pt>
              </c:strCache>
            </c:strRef>
          </c:tx>
          <c:marker>
            <c:symbol val="none"/>
          </c:marker>
          <c:cat>
            <c:strRef>
              <c:f>Sheet1!$A$2:$A$10</c:f>
              <c:strCache>
                <c:ptCount val="5"/>
                <c:pt idx="0">
                  <c:v>2022 6 ամիս</c:v>
                </c:pt>
                <c:pt idx="1">
                  <c:v>2023 6 ամիս</c:v>
                </c:pt>
                <c:pt idx="2">
                  <c:v>2024 6 ամիս</c:v>
                </c:pt>
                <c:pt idx="3">
                  <c:v>2025 6 ամիս</c:v>
                </c:pt>
                <c:pt idx="4">
                  <c:v>2026 6 ամիս</c:v>
                </c:pt>
              </c:strCache>
            </c:strRef>
          </c:cat>
          <c:val>
            <c:numRef>
              <c:f>Sheet1!$E$2:$E$10</c:f>
            </c:numRef>
          </c:val>
          <c:smooth val="0"/>
          <c:extLst>
            <c:ext xmlns:c16="http://schemas.microsoft.com/office/drawing/2014/chart" uri="{C3380CC4-5D6E-409C-BE32-E72D297353CC}">
              <c16:uniqueId val="{0000000B-0C79-44DB-9891-C6F48B9D8EE4}"/>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0" vert="horz" anchor="t" anchorCtr="1"/>
          <a:lstStyle/>
          <a:p>
            <a:pPr>
              <a:defRPr sz="800" b="0" i="0" u="none" strike="noStrike" baseline="0">
                <a:solidFill>
                  <a:srgbClr val="000000"/>
                </a:solidFill>
                <a:latin typeface="GHEA Grapalat"/>
                <a:ea typeface="GHEA Grapalat"/>
                <a:cs typeface="GHEA Grapalat"/>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 sourceLinked="0"/>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General"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93287750901640887"/>
          <c:w val="0.94853579718720127"/>
          <c:h val="6.7122490983591077E-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b="1" i="0" u="none" strike="noStrike" baseline="0">
                <a:effectLst/>
              </a:rPr>
              <a:t>Կապիտալ </a:t>
            </a:r>
            <a:r>
              <a:rPr lang="hy-AM" sz="1000" b="1" i="0" u="none" strike="noStrike" baseline="0">
                <a:effectLst/>
              </a:rPr>
              <a:t>ծախսեր</a:t>
            </a:r>
            <a:endParaRPr lang="en-US" sz="1000" b="1"/>
          </a:p>
        </c:rich>
      </c:tx>
      <c:layout>
        <c:manualLayout>
          <c:xMode val="edge"/>
          <c:yMode val="edge"/>
          <c:x val="0.31296587926509184"/>
          <c:y val="1.2759280089988752E-2"/>
        </c:manualLayout>
      </c:layout>
      <c:overlay val="0"/>
    </c:title>
    <c:autoTitleDeleted val="0"/>
    <c:plotArea>
      <c:layout>
        <c:manualLayout>
          <c:layoutTarget val="inner"/>
          <c:xMode val="edge"/>
          <c:yMode val="edge"/>
          <c:x val="7.369790116441631E-2"/>
          <c:y val="0.12582752155980503"/>
          <c:w val="0.89217968048592944"/>
          <c:h val="0.66916310461192341"/>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2022 6 ամիս</c:v>
                </c:pt>
                <c:pt idx="1">
                  <c:v>2023 6 ամիս</c:v>
                </c:pt>
                <c:pt idx="2">
                  <c:v>2024 6 ամիս</c:v>
                </c:pt>
                <c:pt idx="3">
                  <c:v>2025 6 ամիս</c:v>
                </c:pt>
                <c:pt idx="4">
                  <c:v>2026 6 ամիս</c:v>
                </c:pt>
              </c:strCache>
            </c:strRef>
          </c:cat>
          <c:val>
            <c:numRef>
              <c:f>Sheet1!$B$2:$B$6</c:f>
              <c:numCache>
                <c:formatCode>0.0</c:formatCode>
                <c:ptCount val="5"/>
                <c:pt idx="0">
                  <c:v>100.60722398000001</c:v>
                </c:pt>
                <c:pt idx="1">
                  <c:v>116.93243115999999</c:v>
                </c:pt>
                <c:pt idx="2">
                  <c:v>163.74375649999999</c:v>
                </c:pt>
                <c:pt idx="3">
                  <c:v>295.81013414</c:v>
                </c:pt>
                <c:pt idx="4">
                  <c:v>212.14450367000001</c:v>
                </c:pt>
              </c:numCache>
            </c:numRef>
          </c:val>
          <c:extLst>
            <c:ext xmlns:c16="http://schemas.microsoft.com/office/drawing/2014/chart" uri="{C3380CC4-5D6E-409C-BE32-E72D297353CC}">
              <c16:uniqueId val="{00000000-ACEE-47FF-A633-28AFBC7FBB76}"/>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ED7D31">
                  <a:lumMod val="40000"/>
                  <a:lumOff val="60000"/>
                </a:srgbClr>
              </a:solidFill>
            </a:ln>
          </c:spPr>
          <c:marker>
            <c:symbol val="none"/>
          </c:marker>
          <c:dLbls>
            <c:dLbl>
              <c:idx val="0"/>
              <c:layout>
                <c:manualLayout>
                  <c:x val="-6.7228637236671968E-2"/>
                  <c:y val="-6.2352455943007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EE-47FF-A633-28AFBC7FBB76}"/>
                </c:ext>
              </c:extLst>
            </c:dLbl>
            <c:dLbl>
              <c:idx val="1"/>
              <c:layout>
                <c:manualLayout>
                  <c:x val="-7.9389974212407122E-2"/>
                  <c:y val="-8.53877015373078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EE-47FF-A633-28AFBC7FBB76}"/>
                </c:ext>
              </c:extLst>
            </c:dLbl>
            <c:dLbl>
              <c:idx val="2"/>
              <c:layout>
                <c:manualLayout>
                  <c:x val="-7.439345592005088E-2"/>
                  <c:y val="-5.35324334458192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CEE-47FF-A633-28AFBC7FBB76}"/>
                </c:ext>
              </c:extLst>
            </c:dLbl>
            <c:dLbl>
              <c:idx val="3"/>
              <c:layout>
                <c:manualLayout>
                  <c:x val="-6.1253567793821691E-2"/>
                  <c:y val="-3.3511811023622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CEE-47FF-A633-28AFBC7FBB76}"/>
                </c:ext>
              </c:extLst>
            </c:dLbl>
            <c:dLbl>
              <c:idx val="4"/>
              <c:layout>
                <c:manualLayout>
                  <c:x val="-4.6365326783131842E-2"/>
                  <c:y val="-9.54165729283839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EE-47FF-A633-28AFBC7FBB76}"/>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Sheet1!$A$2:$A$6</c:f>
              <c:strCache>
                <c:ptCount val="5"/>
                <c:pt idx="0">
                  <c:v>2022 6 ամիս</c:v>
                </c:pt>
                <c:pt idx="1">
                  <c:v>2023 6 ամիս</c:v>
                </c:pt>
                <c:pt idx="2">
                  <c:v>2024 6 ամիս</c:v>
                </c:pt>
                <c:pt idx="3">
                  <c:v>2025 6 ամիս</c:v>
                </c:pt>
                <c:pt idx="4">
                  <c:v>2026 6 ամիս</c:v>
                </c:pt>
              </c:strCache>
            </c:strRef>
          </c:cat>
          <c:val>
            <c:numRef>
              <c:f>Sheet1!$C$2:$C$6</c:f>
              <c:numCache>
                <c:formatCode>0.0</c:formatCode>
                <c:ptCount val="5"/>
                <c:pt idx="0">
                  <c:v>29.422216299998706</c:v>
                </c:pt>
                <c:pt idx="1">
                  <c:v>16.226674918736773</c:v>
                </c:pt>
                <c:pt idx="2">
                  <c:v>40.032799177798275</c:v>
                </c:pt>
                <c:pt idx="3">
                  <c:v>80.654298193042877</c:v>
                </c:pt>
                <c:pt idx="4">
                  <c:v>-28.283557868373443</c:v>
                </c:pt>
              </c:numCache>
            </c:numRef>
          </c:val>
          <c:smooth val="0"/>
          <c:extLst>
            <c:ext xmlns:c16="http://schemas.microsoft.com/office/drawing/2014/chart" uri="{C3380CC4-5D6E-409C-BE32-E72D297353CC}">
              <c16:uniqueId val="{00000007-ACEE-47FF-A633-28AFBC7FBB76}"/>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0" vert="horz" anchor="t" anchorCtr="1"/>
          <a:lstStyle/>
          <a:p>
            <a:pPr>
              <a:defRPr sz="8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 sourceLinked="0"/>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 sourceLinked="0"/>
        <c:majorTickMark val="out"/>
        <c:minorTickMark val="none"/>
        <c:tickLblPos val="nextTo"/>
        <c:txPr>
          <a:bodyPr/>
          <a:lstStyle/>
          <a:p>
            <a:pPr>
              <a:defRPr sz="900"/>
            </a:pPr>
            <a:endParaRPr lang="en-US"/>
          </a:p>
        </c:txPr>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91988226471691059"/>
          <c:w val="0.82365704286964125"/>
          <c:h val="8.0117735283089631E-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47348999086713E-2"/>
          <c:y val="3.2783517108681708E-2"/>
          <c:w val="0.85093408368998935"/>
          <c:h val="0.56330551704292786"/>
        </c:manualLayout>
      </c:layout>
      <c:barChart>
        <c:barDir val="col"/>
        <c:grouping val="clustered"/>
        <c:varyColors val="0"/>
        <c:ser>
          <c:idx val="0"/>
          <c:order val="0"/>
          <c:tx>
            <c:strRef>
              <c:f>Sheet1!$C$1</c:f>
              <c:strCache>
                <c:ptCount val="1"/>
                <c:pt idx="0">
                  <c:v>Եկամուտների ազդակ</c:v>
                </c:pt>
              </c:strCache>
            </c:strRef>
          </c:tx>
          <c:spPr>
            <a:solidFill>
              <a:schemeClr val="accent1"/>
            </a:solidFill>
            <a:ln>
              <a:noFill/>
            </a:ln>
            <a:effectLst/>
          </c:spPr>
          <c:invertIfNegative val="0"/>
          <c:cat>
            <c:multiLvlStrRef>
              <c:f>Sheet1!$A$30:$B$51</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Sheet1!$C$30:$C$51</c:f>
              <c:numCache>
                <c:formatCode>0.0</c:formatCode>
                <c:ptCount val="18"/>
                <c:pt idx="0">
                  <c:v>-2.9083386521258703</c:v>
                </c:pt>
                <c:pt idx="1">
                  <c:v>-2.2994861233750923</c:v>
                </c:pt>
                <c:pt idx="2">
                  <c:v>-1.2254903945885001</c:v>
                </c:pt>
                <c:pt idx="3">
                  <c:v>-0.3006281782006287</c:v>
                </c:pt>
                <c:pt idx="4">
                  <c:v>2.6374861188044685</c:v>
                </c:pt>
                <c:pt idx="5">
                  <c:v>0.24720433277327825</c:v>
                </c:pt>
                <c:pt idx="6">
                  <c:v>0.21065560214071627</c:v>
                </c:pt>
                <c:pt idx="7">
                  <c:v>-0.73706026960306792</c:v>
                </c:pt>
                <c:pt idx="8">
                  <c:v>0.28164058150392668</c:v>
                </c:pt>
                <c:pt idx="9">
                  <c:v>0.51491841396356164</c:v>
                </c:pt>
                <c:pt idx="10">
                  <c:v>8.389585486949476E-2</c:v>
                </c:pt>
                <c:pt idx="11">
                  <c:v>0.35481348288758818</c:v>
                </c:pt>
                <c:pt idx="12">
                  <c:v>-1.4797943170504255</c:v>
                </c:pt>
                <c:pt idx="13">
                  <c:v>-1.80537845881624</c:v>
                </c:pt>
                <c:pt idx="14">
                  <c:v>-1.3751905927652528</c:v>
                </c:pt>
                <c:pt idx="15">
                  <c:v>-0.45169896971119677</c:v>
                </c:pt>
                <c:pt idx="16">
                  <c:v>-1.0150342770577021</c:v>
                </c:pt>
                <c:pt idx="17">
                  <c:v>-0.9363276221758674</c:v>
                </c:pt>
              </c:numCache>
            </c:numRef>
          </c:val>
          <c:extLst>
            <c:ext xmlns:c16="http://schemas.microsoft.com/office/drawing/2014/chart" uri="{C3380CC4-5D6E-409C-BE32-E72D297353CC}">
              <c16:uniqueId val="{00000000-0A9F-48FF-8F43-79BFC36ADCC0}"/>
            </c:ext>
          </c:extLst>
        </c:ser>
        <c:ser>
          <c:idx val="2"/>
          <c:order val="1"/>
          <c:tx>
            <c:strRef>
              <c:f>Sheet1!$D$1</c:f>
              <c:strCache>
                <c:ptCount val="1"/>
                <c:pt idx="0">
                  <c:v>Ծախսերի ազդակ</c:v>
                </c:pt>
              </c:strCache>
            </c:strRef>
          </c:tx>
          <c:spPr>
            <a:solidFill>
              <a:schemeClr val="accent3"/>
            </a:solidFill>
            <a:ln>
              <a:noFill/>
            </a:ln>
            <a:effectLst/>
          </c:spPr>
          <c:invertIfNegative val="0"/>
          <c:cat>
            <c:multiLvlStrRef>
              <c:f>Sheet1!$A$30:$B$51</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Sheet1!$D$30:$D$51</c:f>
              <c:numCache>
                <c:formatCode>0.0</c:formatCode>
                <c:ptCount val="18"/>
                <c:pt idx="0">
                  <c:v>-1.7401758935493477</c:v>
                </c:pt>
                <c:pt idx="1">
                  <c:v>-1.9971852775143695</c:v>
                </c:pt>
                <c:pt idx="2">
                  <c:v>-1.6492863005964964</c:v>
                </c:pt>
                <c:pt idx="3">
                  <c:v>-1.8719709051266367</c:v>
                </c:pt>
                <c:pt idx="4">
                  <c:v>-1.8759536040028988</c:v>
                </c:pt>
                <c:pt idx="5">
                  <c:v>-0.28772408150184764</c:v>
                </c:pt>
                <c:pt idx="6">
                  <c:v>-2.1107473938583209E-2</c:v>
                </c:pt>
                <c:pt idx="7">
                  <c:v>1.1321654016043097</c:v>
                </c:pt>
                <c:pt idx="8">
                  <c:v>1.7363039790662997</c:v>
                </c:pt>
                <c:pt idx="9">
                  <c:v>2.4996015752561842</c:v>
                </c:pt>
                <c:pt idx="10">
                  <c:v>1.7759787880613906</c:v>
                </c:pt>
                <c:pt idx="11">
                  <c:v>1.0480259756626686</c:v>
                </c:pt>
                <c:pt idx="12">
                  <c:v>0.62917672166072125</c:v>
                </c:pt>
                <c:pt idx="13">
                  <c:v>8.257521597376194E-2</c:v>
                </c:pt>
                <c:pt idx="14">
                  <c:v>-0.15771263467029487</c:v>
                </c:pt>
                <c:pt idx="15">
                  <c:v>-0.10161714336228631</c:v>
                </c:pt>
                <c:pt idx="16">
                  <c:v>0.25456156553393794</c:v>
                </c:pt>
                <c:pt idx="17">
                  <c:v>1.3604021234040029</c:v>
                </c:pt>
              </c:numCache>
            </c:numRef>
          </c:val>
          <c:extLst>
            <c:ext xmlns:c16="http://schemas.microsoft.com/office/drawing/2014/chart" uri="{C3380CC4-5D6E-409C-BE32-E72D297353CC}">
              <c16:uniqueId val="{00000001-0A9F-48FF-8F43-79BFC36ADCC0}"/>
            </c:ext>
          </c:extLst>
        </c:ser>
        <c:dLbls>
          <c:showLegendKey val="0"/>
          <c:showVal val="0"/>
          <c:showCatName val="0"/>
          <c:showSerName val="0"/>
          <c:showPercent val="0"/>
          <c:showBubbleSize val="0"/>
        </c:dLbls>
        <c:gapWidth val="150"/>
        <c:axId val="296855424"/>
        <c:axId val="296856960"/>
      </c:barChart>
      <c:lineChart>
        <c:grouping val="standard"/>
        <c:varyColors val="0"/>
        <c:ser>
          <c:idx val="1"/>
          <c:order val="2"/>
          <c:tx>
            <c:strRef>
              <c:f>Sheet1!$E$1</c:f>
              <c:strCache>
                <c:ptCount val="1"/>
                <c:pt idx="0">
                  <c:v>Հարկաբյուջետային ազդակ</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8.158173921953453E-2"/>
                  <c:y val="5.0354635903070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A9F-48FF-8F43-79BFC36ADCC0}"/>
                </c:ext>
              </c:extLst>
            </c:dLbl>
            <c:dLbl>
              <c:idx val="7"/>
              <c:layout>
                <c:manualLayout>
                  <c:x val="-2.7917996736894376E-2"/>
                  <c:y val="5.0354635903070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3D-4AA9-B2E7-AC6304BDCF43}"/>
                </c:ext>
              </c:extLst>
            </c:dLbl>
            <c:dLbl>
              <c:idx val="10"/>
              <c:layout>
                <c:manualLayout>
                  <c:x val="-6.6546546546546695E-2"/>
                  <c:y val="5.47843147513537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3D-4AA9-B2E7-AC6304BDCF43}"/>
                </c:ext>
              </c:extLst>
            </c:dLbl>
            <c:dLbl>
              <c:idx val="11"/>
              <c:layout>
                <c:manualLayout>
                  <c:x val="-5.7257257257257256E-2"/>
                  <c:y val="6.36436724479207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9F-48FF-8F43-79BFC36ADCC0}"/>
                </c:ext>
              </c:extLst>
            </c:dLbl>
            <c:dLbl>
              <c:idx val="13"/>
              <c:layout>
                <c:manualLayout>
                  <c:x val="-7.1191191191191189E-2"/>
                  <c:y val="5.0354635903070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CB-490A-BEFD-5F6C621F1B57}"/>
                </c:ext>
              </c:extLst>
            </c:dLbl>
            <c:dLbl>
              <c:idx val="16"/>
              <c:layout>
                <c:manualLayout>
                  <c:x val="-3.9930008748906537E-2"/>
                  <c:y val="3.26359205099362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CB-490A-BEFD-5F6C621F1B57}"/>
                </c:ext>
              </c:extLst>
            </c:dLbl>
            <c:dLbl>
              <c:idx val="17"/>
              <c:layout>
                <c:manualLayout>
                  <c:x val="-2.3781261576537167E-2"/>
                  <c:y val="-6.48170141523007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CB-490A-BEFD-5F6C621F1B57}"/>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Sheet1!$A$22:$B$47</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2022</c:v>
                  </c:pt>
                  <c:pt idx="4">
                    <c:v>2023</c:v>
                  </c:pt>
                  <c:pt idx="8">
                    <c:v>2024</c:v>
                  </c:pt>
                  <c:pt idx="12">
                    <c:v>2025</c:v>
                  </c:pt>
                </c:lvl>
              </c:multiLvlStrCache>
            </c:multiLvlStrRef>
          </c:cat>
          <c:val>
            <c:numRef>
              <c:f>Sheet1!$E$30:$E$51</c:f>
              <c:numCache>
                <c:formatCode>0.0</c:formatCode>
                <c:ptCount val="18"/>
                <c:pt idx="0">
                  <c:v>-4.6485145456752175</c:v>
                </c:pt>
                <c:pt idx="1">
                  <c:v>-4.296671400889462</c:v>
                </c:pt>
                <c:pt idx="2">
                  <c:v>-2.8747766951849965</c:v>
                </c:pt>
                <c:pt idx="3">
                  <c:v>-2.1725990833272655</c:v>
                </c:pt>
                <c:pt idx="4">
                  <c:v>0.76153251480156969</c:v>
                </c:pt>
                <c:pt idx="5">
                  <c:v>-4.0519748728569394E-2</c:v>
                </c:pt>
                <c:pt idx="6">
                  <c:v>0.18954812820213307</c:v>
                </c:pt>
                <c:pt idx="7">
                  <c:v>0.39510513200124175</c:v>
                </c:pt>
                <c:pt idx="8">
                  <c:v>2.0179445605702266</c:v>
                </c:pt>
                <c:pt idx="9">
                  <c:v>3.0145199892197461</c:v>
                </c:pt>
                <c:pt idx="10">
                  <c:v>1.8598746429308854</c:v>
                </c:pt>
                <c:pt idx="11">
                  <c:v>1.4028394585502568</c:v>
                </c:pt>
                <c:pt idx="12">
                  <c:v>-0.85061759538970427</c:v>
                </c:pt>
                <c:pt idx="13">
                  <c:v>-1.722803242842478</c:v>
                </c:pt>
                <c:pt idx="14">
                  <c:v>-1.5329032274355476</c:v>
                </c:pt>
                <c:pt idx="15">
                  <c:v>-0.55331611307348305</c:v>
                </c:pt>
                <c:pt idx="16">
                  <c:v>-0.76047271152376417</c:v>
                </c:pt>
                <c:pt idx="17">
                  <c:v>0.4240745012281355</c:v>
                </c:pt>
              </c:numCache>
            </c:numRef>
          </c:val>
          <c:smooth val="0"/>
          <c:extLst>
            <c:ext xmlns:c16="http://schemas.microsoft.com/office/drawing/2014/chart" uri="{C3380CC4-5D6E-409C-BE32-E72D297353CC}">
              <c16:uniqueId val="{00000003-0A9F-48FF-8F43-79BFC36ADCC0}"/>
            </c:ext>
          </c:extLst>
        </c:ser>
        <c:dLbls>
          <c:showLegendKey val="0"/>
          <c:showVal val="0"/>
          <c:showCatName val="0"/>
          <c:showSerName val="0"/>
          <c:showPercent val="0"/>
          <c:showBubbleSize val="0"/>
        </c:dLbls>
        <c:marker val="1"/>
        <c:smooth val="0"/>
        <c:axId val="296855424"/>
        <c:axId val="296856960"/>
      </c:lineChart>
      <c:catAx>
        <c:axId val="296855424"/>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856960"/>
        <c:crosses val="autoZero"/>
        <c:auto val="1"/>
        <c:lblAlgn val="ctr"/>
        <c:lblOffset val="100"/>
        <c:tickLblSkip val="1"/>
        <c:noMultiLvlLbl val="0"/>
      </c:catAx>
      <c:valAx>
        <c:axId val="2968569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855424"/>
        <c:crosses val="autoZero"/>
        <c:crossBetween val="between"/>
      </c:valAx>
      <c:spPr>
        <a:noFill/>
        <a:ln>
          <a:noFill/>
        </a:ln>
        <a:effectLst/>
      </c:spPr>
    </c:plotArea>
    <c:legend>
      <c:legendPos val="b"/>
      <c:layout>
        <c:manualLayout>
          <c:xMode val="edge"/>
          <c:yMode val="edge"/>
          <c:x val="1.2492492492492483E-2"/>
          <c:y val="0.79019924834977018"/>
          <c:w val="0.96300300300300301"/>
          <c:h val="0.1832226785605287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69790116441631E-2"/>
          <c:y val="6.8779136896752302E-2"/>
          <c:w val="0.89217968048592944"/>
          <c:h val="0.61205219248365716"/>
        </c:manualLayout>
      </c:layout>
      <c:barChart>
        <c:barDir val="col"/>
        <c:grouping val="clustered"/>
        <c:varyColors val="0"/>
        <c:ser>
          <c:idx val="0"/>
          <c:order val="0"/>
          <c:tx>
            <c:strRef>
              <c:f>Sheet1!$B$1</c:f>
              <c:strCache>
                <c:ptCount val="1"/>
                <c:pt idx="0">
                  <c:v>Բյուջեի հաշվեկշիռ, մլրդ դրամ</c:v>
                </c:pt>
              </c:strCache>
            </c:strRef>
          </c:tx>
          <c:spPr>
            <a:solidFill>
              <a:schemeClr val="accent1"/>
            </a:solidFill>
            <a:ln>
              <a:noFill/>
            </a:ln>
            <a:effectLst/>
          </c:spPr>
          <c:invertIfNegative val="0"/>
          <c:dLbls>
            <c:dLbl>
              <c:idx val="2"/>
              <c:layout>
                <c:manualLayout>
                  <c:x val="-7.8400627205017642E-3"/>
                  <c:y val="9.2613357178202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22-4B76-8C89-33844E8329A4}"/>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5"/>
                <c:pt idx="0">
                  <c:v>2022 I կիս.</c:v>
                </c:pt>
                <c:pt idx="1">
                  <c:v>2023 I կիս․</c:v>
                </c:pt>
                <c:pt idx="2">
                  <c:v>2024 I կիս․</c:v>
                </c:pt>
                <c:pt idx="3">
                  <c:v>2025 I կիս․</c:v>
                </c:pt>
                <c:pt idx="4">
                  <c:v>2026 I կիս․</c:v>
                </c:pt>
              </c:strCache>
            </c:strRef>
          </c:cat>
          <c:val>
            <c:numRef>
              <c:f>Sheet1!$B$2:$B$9</c:f>
              <c:numCache>
                <c:formatCode>0.0</c:formatCode>
                <c:ptCount val="5"/>
                <c:pt idx="0">
                  <c:v>72.413195340000001</c:v>
                </c:pt>
                <c:pt idx="1">
                  <c:v>134.29529753</c:v>
                </c:pt>
                <c:pt idx="2">
                  <c:v>10.977747409999999</c:v>
                </c:pt>
                <c:pt idx="3">
                  <c:v>-39.219741329999898</c:v>
                </c:pt>
                <c:pt idx="4">
                  <c:v>67.270443100000094</c:v>
                </c:pt>
              </c:numCache>
            </c:numRef>
          </c:val>
          <c:extLst>
            <c:ext xmlns:c16="http://schemas.microsoft.com/office/drawing/2014/chart" uri="{C3380CC4-5D6E-409C-BE32-E72D297353CC}">
              <c16:uniqueId val="{00000001-D76A-4E2B-A6B7-BC1D92DE0C67}"/>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w="28575" cap="rnd">
              <a:solidFill>
                <a:schemeClr val="accent3"/>
              </a:solidFill>
              <a:round/>
            </a:ln>
            <a:effectLst/>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6A-4E2B-A6B7-BC1D92DE0C67}"/>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76A-4E2B-A6B7-BC1D92DE0C67}"/>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76A-4E2B-A6B7-BC1D92DE0C67}"/>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76A-4E2B-A6B7-BC1D92DE0C6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5"/>
                <c:pt idx="0">
                  <c:v>2022 I կիս.</c:v>
                </c:pt>
                <c:pt idx="1">
                  <c:v>2023 I կիս․</c:v>
                </c:pt>
                <c:pt idx="2">
                  <c:v>2024 I կիս․</c:v>
                </c:pt>
                <c:pt idx="3">
                  <c:v>2025 I կիս․</c:v>
                </c:pt>
                <c:pt idx="4">
                  <c:v>2026 I կիս․</c:v>
                </c:pt>
              </c:strCache>
            </c:strRef>
          </c:cat>
          <c:val>
            <c:numRef>
              <c:f>Sheet1!$C$2:$C$9</c:f>
            </c:numRef>
          </c:val>
          <c:smooth val="0"/>
          <c:extLst>
            <c:ext xmlns:c16="http://schemas.microsoft.com/office/drawing/2014/chart" uri="{C3380CC4-5D6E-409C-BE32-E72D297353CC}">
              <c16:uniqueId val="{00000006-D76A-4E2B-A6B7-BC1D92DE0C67}"/>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661760"/>
        <c:crosses val="autoZero"/>
        <c:auto val="1"/>
        <c:lblAlgn val="ctr"/>
        <c:lblOffset val="100"/>
        <c:noMultiLvlLbl val="0"/>
      </c:catAx>
      <c:valAx>
        <c:axId val="2966617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659968"/>
        <c:crossesAt val="1"/>
        <c:crossBetween val="between"/>
      </c:valAx>
      <c:valAx>
        <c:axId val="296663296"/>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7074688"/>
        <c:crosses val="max"/>
        <c:crossBetween val="between"/>
      </c:valAx>
      <c:catAx>
        <c:axId val="297074688"/>
        <c:scaling>
          <c:orientation val="minMax"/>
        </c:scaling>
        <c:delete val="1"/>
        <c:axPos val="b"/>
        <c:numFmt formatCode="General" sourceLinked="1"/>
        <c:majorTickMark val="none"/>
        <c:minorTickMark val="none"/>
        <c:tickLblPos val="nextTo"/>
        <c:crossAx val="29666329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D1D7BA-EE36-4CA5-AFE3-6364FA74C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4</Pages>
  <Words>1177</Words>
  <Characters>6711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Tereza Vardanyan</dc:creator>
  <cp:keywords/>
  <dc:description/>
  <cp:lastModifiedBy>Emma Ghaytanjyan</cp:lastModifiedBy>
  <cp:revision>18</cp:revision>
  <cp:lastPrinted>2026-08-06T07:16:00Z</cp:lastPrinted>
  <dcterms:created xsi:type="dcterms:W3CDTF">2026-08-05T14:25:00Z</dcterms:created>
  <dcterms:modified xsi:type="dcterms:W3CDTF">2026-08-06T11:58:00Z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f433b812-8d0e-4df7-8e7e-eb032e8d9bb3</vt:lpwstr>
  </property>
</Properties>
</file>